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D6CE69" w14:textId="0C645669" w:rsidR="00036AC2" w:rsidRPr="00036AC2" w:rsidRDefault="00C27C2E" w:rsidP="00F7426B">
      <w:pPr>
        <w:pStyle w:val="Pealkiri"/>
      </w:pPr>
      <w:r>
        <w:t>The ortho-para transition, confinement and self-diffusion of H</w:t>
      </w:r>
      <w:r w:rsidRPr="00C27C2E">
        <w:rPr>
          <w:vertAlign w:val="subscript"/>
        </w:rPr>
        <w:t>2</w:t>
      </w:r>
      <w:r>
        <w:t xml:space="preserve"> in </w:t>
      </w:r>
      <w:r w:rsidR="005B637D">
        <w:t xml:space="preserve">three distinct </w:t>
      </w:r>
      <w:r w:rsidR="00FD4340">
        <w:t>carbide-derived carbons</w:t>
      </w:r>
      <w:r>
        <w:t xml:space="preserve"> by quasi- and inelastic neutron scattering</w:t>
      </w:r>
    </w:p>
    <w:p w14:paraId="37B97F17" w14:textId="4AA4C574" w:rsidR="00524C4B" w:rsidRPr="005B637D" w:rsidRDefault="00FD4340" w:rsidP="00F05EBE">
      <w:pPr>
        <w:pStyle w:val="AuthorLastName"/>
        <w:rPr>
          <w:iCs/>
        </w:rPr>
      </w:pPr>
      <w:r w:rsidRPr="005B637D">
        <w:rPr>
          <w:rStyle w:val="AuthorFirstnameCar"/>
        </w:rPr>
        <w:t xml:space="preserve">Riinu </w:t>
      </w:r>
      <w:r w:rsidRPr="005B637D">
        <w:rPr>
          <w:rStyle w:val="AuthorFirstnameCar"/>
          <w:i w:val="0"/>
          <w:iCs w:val="0"/>
        </w:rPr>
        <w:t>Härmas</w:t>
      </w:r>
      <w:r w:rsidR="00F05EBE" w:rsidRPr="005B637D">
        <w:rPr>
          <w:vertAlign w:val="superscript"/>
        </w:rPr>
        <w:t>1</w:t>
      </w:r>
      <w:r w:rsidR="00F05EBE" w:rsidRPr="005B637D">
        <w:rPr>
          <w:rStyle w:val="Allmrkuseviide"/>
          <w:bCs w:val="0"/>
        </w:rPr>
        <w:footnoteReference w:id="1"/>
      </w:r>
      <w:r w:rsidR="00F05EBE" w:rsidRPr="005B637D">
        <w:rPr>
          <w:rStyle w:val="Appelnotedebasdepage"/>
        </w:rPr>
        <w:t xml:space="preserve">, </w:t>
      </w:r>
      <w:r w:rsidRPr="005B637D">
        <w:rPr>
          <w:rStyle w:val="AuthorFirstnameCar"/>
        </w:rPr>
        <w:t>Rasmus</w:t>
      </w:r>
      <w:r w:rsidR="00F05EBE" w:rsidRPr="005B637D">
        <w:t xml:space="preserve"> </w:t>
      </w:r>
      <w:r w:rsidRPr="005B637D">
        <w:t>Palm</w:t>
      </w:r>
      <w:r w:rsidR="00CF30AF" w:rsidRPr="005B637D">
        <w:rPr>
          <w:vertAlign w:val="superscript"/>
        </w:rPr>
        <w:t>1</w:t>
      </w:r>
      <w:r w:rsidR="007468C5">
        <w:rPr>
          <w:vertAlign w:val="superscript"/>
        </w:rPr>
        <w:t>,2</w:t>
      </w:r>
      <w:r w:rsidR="00F05EBE" w:rsidRPr="005B637D">
        <w:t xml:space="preserve">, </w:t>
      </w:r>
      <w:r w:rsidR="000B3E9C" w:rsidRPr="005B637D">
        <w:rPr>
          <w:i/>
          <w:iCs/>
        </w:rPr>
        <w:t>Miriam</w:t>
      </w:r>
      <w:r w:rsidR="000B3E9C" w:rsidRPr="005B637D">
        <w:t xml:space="preserve"> Koppel</w:t>
      </w:r>
      <w:r w:rsidR="000B3E9C" w:rsidRPr="005B637D">
        <w:rPr>
          <w:vertAlign w:val="superscript"/>
        </w:rPr>
        <w:t>1</w:t>
      </w:r>
      <w:r w:rsidR="000B3E9C">
        <w:t xml:space="preserve">, </w:t>
      </w:r>
      <w:r w:rsidR="000B3E9C">
        <w:rPr>
          <w:i/>
          <w:iCs/>
        </w:rPr>
        <w:t>Laura</w:t>
      </w:r>
      <w:r w:rsidR="000B3E9C" w:rsidRPr="005B637D">
        <w:t xml:space="preserve"> K</w:t>
      </w:r>
      <w:r w:rsidR="000B3E9C">
        <w:t>alder</w:t>
      </w:r>
      <w:r w:rsidR="000B3E9C" w:rsidRPr="005B637D">
        <w:rPr>
          <w:vertAlign w:val="superscript"/>
        </w:rPr>
        <w:t>1</w:t>
      </w:r>
      <w:r w:rsidR="000B3E9C" w:rsidRPr="005B637D">
        <w:t xml:space="preserve">, </w:t>
      </w:r>
      <w:r w:rsidRPr="005B637D">
        <w:rPr>
          <w:i/>
          <w:iCs/>
        </w:rPr>
        <w:t>Margarita</w:t>
      </w:r>
      <w:r w:rsidRPr="005B637D">
        <w:t xml:space="preserve"> Russina</w:t>
      </w:r>
      <w:r w:rsidR="007468C5">
        <w:rPr>
          <w:vertAlign w:val="superscript"/>
        </w:rPr>
        <w:t>3</w:t>
      </w:r>
      <w:r w:rsidRPr="005B637D">
        <w:t xml:space="preserve">, </w:t>
      </w:r>
      <w:r w:rsidRPr="005B637D">
        <w:rPr>
          <w:i/>
          <w:iCs/>
        </w:rPr>
        <w:t>Heisi</w:t>
      </w:r>
      <w:r w:rsidRPr="005B637D">
        <w:t xml:space="preserve"> Kurig</w:t>
      </w:r>
      <w:r w:rsidRPr="005B637D">
        <w:rPr>
          <w:vertAlign w:val="superscript"/>
        </w:rPr>
        <w:t>1</w:t>
      </w:r>
      <w:r w:rsidRPr="005B637D">
        <w:t xml:space="preserve">, </w:t>
      </w:r>
      <w:r w:rsidRPr="005B637D">
        <w:rPr>
          <w:i/>
          <w:iCs/>
        </w:rPr>
        <w:t>Eneli</w:t>
      </w:r>
      <w:r w:rsidRPr="005B637D">
        <w:t xml:space="preserve"> </w:t>
      </w:r>
      <w:r w:rsidR="00A52DEB">
        <w:t>Härk</w:t>
      </w:r>
      <w:r w:rsidRPr="005B637D">
        <w:rPr>
          <w:vertAlign w:val="superscript"/>
        </w:rPr>
        <w:t>1,</w:t>
      </w:r>
      <w:r w:rsidR="007468C5">
        <w:rPr>
          <w:vertAlign w:val="superscript"/>
        </w:rPr>
        <w:t>3</w:t>
      </w:r>
      <w:r w:rsidRPr="005B637D">
        <w:t xml:space="preserve">, </w:t>
      </w:r>
      <w:r w:rsidR="000B3E9C" w:rsidRPr="000B3E9C">
        <w:rPr>
          <w:i/>
          <w:iCs/>
        </w:rPr>
        <w:t xml:space="preserve">Jaan </w:t>
      </w:r>
      <w:r w:rsidR="000B3E9C">
        <w:t>Aruväli</w:t>
      </w:r>
      <w:r w:rsidR="000B3E9C">
        <w:rPr>
          <w:vertAlign w:val="superscript"/>
        </w:rPr>
        <w:t>4</w:t>
      </w:r>
      <w:r w:rsidRPr="005B637D">
        <w:t xml:space="preserve">, </w:t>
      </w:r>
      <w:r w:rsidR="00205ADD" w:rsidRPr="00205ADD">
        <w:rPr>
          <w:i/>
          <w:iCs/>
        </w:rPr>
        <w:t>Indrek</w:t>
      </w:r>
      <w:r w:rsidR="00205ADD">
        <w:t xml:space="preserve"> Tallo</w:t>
      </w:r>
      <w:r w:rsidR="00205ADD" w:rsidRPr="00205ADD">
        <w:rPr>
          <w:vertAlign w:val="superscript"/>
        </w:rPr>
        <w:t>1</w:t>
      </w:r>
      <w:r w:rsidR="00205ADD">
        <w:t xml:space="preserve">, </w:t>
      </w:r>
      <w:r w:rsidRPr="005B637D">
        <w:rPr>
          <w:i/>
          <w:iCs/>
        </w:rPr>
        <w:t>Jan</w:t>
      </w:r>
      <w:r w:rsidRPr="002121FE">
        <w:rPr>
          <w:i/>
          <w:iCs/>
        </w:rPr>
        <w:t xml:space="preserve"> </w:t>
      </w:r>
      <w:r w:rsidR="002121FE" w:rsidRPr="002121FE">
        <w:rPr>
          <w:i/>
          <w:iCs/>
        </w:rPr>
        <w:t>P.</w:t>
      </w:r>
      <w:r w:rsidR="002121FE">
        <w:t xml:space="preserve"> </w:t>
      </w:r>
      <w:r w:rsidRPr="005B637D">
        <w:t>Embs</w:t>
      </w:r>
      <w:r w:rsidR="000B3E9C">
        <w:rPr>
          <w:vertAlign w:val="superscript"/>
        </w:rPr>
        <w:t>5</w:t>
      </w:r>
      <w:r w:rsidRPr="005B637D">
        <w:t xml:space="preserve">, </w:t>
      </w:r>
      <w:r w:rsidR="00F05EBE" w:rsidRPr="005B637D">
        <w:t xml:space="preserve">and </w:t>
      </w:r>
      <w:r w:rsidRPr="005B637D">
        <w:rPr>
          <w:rStyle w:val="AuthorFirstnameCar"/>
        </w:rPr>
        <w:t>Enn</w:t>
      </w:r>
      <w:r w:rsidR="00F05EBE" w:rsidRPr="005B637D">
        <w:t xml:space="preserve"> </w:t>
      </w:r>
      <w:r w:rsidRPr="005B637D">
        <w:t>Lust</w:t>
      </w:r>
      <w:r w:rsidR="00F05EBE" w:rsidRPr="005B637D">
        <w:rPr>
          <w:vertAlign w:val="superscript"/>
        </w:rPr>
        <w:t>1</w:t>
      </w:r>
    </w:p>
    <w:p w14:paraId="5EAF0BD8" w14:textId="77777777" w:rsidR="007468C5" w:rsidRDefault="00F05EBE" w:rsidP="002121FE">
      <w:pPr>
        <w:pStyle w:val="Affiliation"/>
        <w:jc w:val="both"/>
      </w:pPr>
      <w:r w:rsidRPr="00CF30AF">
        <w:rPr>
          <w:vertAlign w:val="superscript"/>
        </w:rPr>
        <w:t>1</w:t>
      </w:r>
      <w:r w:rsidR="00CF30AF" w:rsidRPr="00CF30AF">
        <w:t>Ins</w:t>
      </w:r>
      <w:r w:rsidR="00CF30AF">
        <w:t>titute of Chemistry, University of Tartu, Ravila 14a, 50411 Tartu, Estonia</w:t>
      </w:r>
    </w:p>
    <w:p w14:paraId="624D733D" w14:textId="52B2B9F7" w:rsidR="00F05EBE" w:rsidRPr="00FD4340" w:rsidRDefault="007468C5" w:rsidP="002121FE">
      <w:pPr>
        <w:pStyle w:val="Affiliation"/>
        <w:jc w:val="both"/>
        <w:rPr>
          <w:highlight w:val="yellow"/>
        </w:rPr>
      </w:pPr>
      <w:r w:rsidRPr="007468C5">
        <w:rPr>
          <w:vertAlign w:val="superscript"/>
        </w:rPr>
        <w:t>2</w:t>
      </w:r>
      <w:r w:rsidRPr="007468C5">
        <w:t>Department of Applied Physics, KTH Royal Institute of Technology, SE-106 91 Stockholm, Sweden</w:t>
      </w:r>
    </w:p>
    <w:p w14:paraId="17980BC8" w14:textId="7F9F5145" w:rsidR="002121FE" w:rsidRDefault="007468C5" w:rsidP="002121FE">
      <w:pPr>
        <w:pStyle w:val="Affiliation"/>
        <w:jc w:val="both"/>
      </w:pPr>
      <w:r>
        <w:rPr>
          <w:vertAlign w:val="superscript"/>
        </w:rPr>
        <w:t>3</w:t>
      </w:r>
      <w:r w:rsidR="00CF30AF" w:rsidRPr="00CF30AF">
        <w:t>Helmholtz-Zentrum Berlin für Materialien und Energie, Hahn-Meitner-Platz 1, 14109 Berlin,</w:t>
      </w:r>
      <w:r w:rsidR="002121FE">
        <w:t xml:space="preserve"> </w:t>
      </w:r>
      <w:r w:rsidR="00CF30AF" w:rsidRPr="00CF30AF">
        <w:t>Germany</w:t>
      </w:r>
    </w:p>
    <w:p w14:paraId="33451CE5" w14:textId="09623501" w:rsidR="00CF30AF" w:rsidRDefault="000B3E9C" w:rsidP="002121FE">
      <w:pPr>
        <w:pStyle w:val="Affiliation"/>
        <w:jc w:val="both"/>
      </w:pPr>
      <w:r>
        <w:rPr>
          <w:vertAlign w:val="superscript"/>
          <w:lang w:val="en-US"/>
        </w:rPr>
        <w:t>4</w:t>
      </w:r>
      <w:r w:rsidR="00205ADD">
        <w:rPr>
          <w:lang w:val="en-US"/>
        </w:rPr>
        <w:t xml:space="preserve">Department </w:t>
      </w:r>
      <w:r w:rsidRPr="000B3E9C">
        <w:rPr>
          <w:lang w:val="en-US"/>
        </w:rPr>
        <w:t>of Geology</w:t>
      </w:r>
      <w:r>
        <w:rPr>
          <w:lang w:val="en-US"/>
        </w:rPr>
        <w:t xml:space="preserve">, </w:t>
      </w:r>
      <w:r>
        <w:t>University of Tartu, Ravila 14a, 50411 Tartu, Estonia</w:t>
      </w:r>
    </w:p>
    <w:p w14:paraId="504ADBDA" w14:textId="51AD3C9A" w:rsidR="00F05EBE" w:rsidRPr="00F0587E" w:rsidRDefault="000B3E9C" w:rsidP="002121FE">
      <w:pPr>
        <w:pStyle w:val="Affiliation"/>
        <w:jc w:val="both"/>
        <w:rPr>
          <w:lang w:val="en-US"/>
        </w:rPr>
      </w:pPr>
      <w:r>
        <w:rPr>
          <w:vertAlign w:val="superscript"/>
          <w:lang w:val="en-US"/>
        </w:rPr>
        <w:t>5</w:t>
      </w:r>
      <w:r w:rsidR="002121FE" w:rsidRPr="002121FE">
        <w:rPr>
          <w:lang w:val="en-US"/>
        </w:rPr>
        <w:t>Laboratory for Neutron Scattering and Imaging</w:t>
      </w:r>
      <w:r w:rsidR="002121FE">
        <w:rPr>
          <w:lang w:val="en-US"/>
        </w:rPr>
        <w:t xml:space="preserve">, </w:t>
      </w:r>
      <w:r w:rsidR="00CF30AF" w:rsidRPr="002121FE">
        <w:rPr>
          <w:lang w:val="en-US"/>
        </w:rPr>
        <w:t xml:space="preserve">Paul </w:t>
      </w:r>
      <w:r w:rsidR="00CF30AF" w:rsidRPr="00F0587E">
        <w:rPr>
          <w:lang w:val="en-US"/>
        </w:rPr>
        <w:t xml:space="preserve">Scherrer Institute, Forschungsstrasse 111, </w:t>
      </w:r>
      <w:r w:rsidR="002121FE">
        <w:rPr>
          <w:lang w:val="en-US"/>
        </w:rPr>
        <w:t>CH-</w:t>
      </w:r>
      <w:r w:rsidR="00CF30AF" w:rsidRPr="00F0587E">
        <w:rPr>
          <w:lang w:val="en-US"/>
        </w:rPr>
        <w:t>5232, Villigen</w:t>
      </w:r>
      <w:r w:rsidR="002121FE">
        <w:rPr>
          <w:lang w:val="en-US"/>
        </w:rPr>
        <w:t xml:space="preserve"> PSI</w:t>
      </w:r>
      <w:r w:rsidR="00CF30AF" w:rsidRPr="00F0587E">
        <w:rPr>
          <w:lang w:val="en-US"/>
        </w:rPr>
        <w:t>, Switzerland</w:t>
      </w:r>
    </w:p>
    <w:p w14:paraId="62E11B3A" w14:textId="74AA0795" w:rsidR="00937B86" w:rsidRPr="00A473A5" w:rsidRDefault="00DB3B4E" w:rsidP="00CF30AF">
      <w:pPr>
        <w:pStyle w:val="Abstractbody"/>
      </w:pPr>
      <w:r w:rsidRPr="00AC6424">
        <w:rPr>
          <w:rStyle w:val="AbstractAbstractword"/>
        </w:rPr>
        <w:t>Abstract</w:t>
      </w:r>
      <w:r w:rsidRPr="00A054E0">
        <w:rPr>
          <w:rStyle w:val="AbstractAbstractword"/>
        </w:rPr>
        <w:t>.</w:t>
      </w:r>
      <w:r w:rsidRPr="00A054E0">
        <w:t xml:space="preserve"> </w:t>
      </w:r>
      <w:r w:rsidR="0073585E" w:rsidRPr="00A054E0">
        <w:t xml:space="preserve">Microporous carbon materials </w:t>
      </w:r>
      <w:r w:rsidR="002F20E4" w:rsidRPr="00A054E0">
        <w:t>are</w:t>
      </w:r>
      <w:r w:rsidR="0073585E" w:rsidRPr="00A054E0">
        <w:t xml:space="preserve"> promising for hydrogen storage due to their </w:t>
      </w:r>
      <w:r w:rsidR="00CF30AF" w:rsidRPr="00A054E0">
        <w:t>structural variety, high specific surface area, large pore volume and relatively low cost</w:t>
      </w:r>
      <w:r w:rsidR="0073585E" w:rsidRPr="00A054E0">
        <w:t>.</w:t>
      </w:r>
      <w:r w:rsidR="00A054E0">
        <w:t xml:space="preserve"> Carbide-derived carbons are highly valued as model materials because their porous structure </w:t>
      </w:r>
      <w:r w:rsidR="00A52DEB">
        <w:t>is</w:t>
      </w:r>
      <w:r w:rsidR="00A054E0">
        <w:t xml:space="preserve"> fine-tuned th</w:t>
      </w:r>
      <w:r w:rsidR="00A52DEB">
        <w:t>r</w:t>
      </w:r>
      <w:r w:rsidR="00A054E0">
        <w:t xml:space="preserve">ough the choice of the precursor carbide and the synthesis route. </w:t>
      </w:r>
      <w:r w:rsidR="00A52DEB">
        <w:t>T</w:t>
      </w:r>
      <w:r w:rsidR="0073585E" w:rsidRPr="00A054E0">
        <w:t>his study</w:t>
      </w:r>
      <w:r w:rsidR="00A52DEB">
        <w:t xml:space="preserve"> investigates</w:t>
      </w:r>
      <w:r w:rsidR="0073585E" w:rsidRPr="00A054E0">
        <w:t xml:space="preserve"> </w:t>
      </w:r>
      <w:r w:rsidR="00946CA1" w:rsidRPr="00A054E0">
        <w:t>H</w:t>
      </w:r>
      <w:r w:rsidR="00946CA1" w:rsidRPr="00A054E0">
        <w:rPr>
          <w:vertAlign w:val="subscript"/>
        </w:rPr>
        <w:t>2</w:t>
      </w:r>
      <w:r w:rsidR="00CF30AF" w:rsidRPr="00A054E0">
        <w:t xml:space="preserve"> adsorption in</w:t>
      </w:r>
      <w:r w:rsidR="00652925">
        <w:t xml:space="preserve"> three</w:t>
      </w:r>
      <w:r w:rsidR="00CF30AF" w:rsidRPr="00A054E0">
        <w:t xml:space="preserve"> </w:t>
      </w:r>
      <w:r w:rsidR="00A054E0">
        <w:t xml:space="preserve">carbide derived </w:t>
      </w:r>
      <w:r w:rsidR="00CF30AF" w:rsidRPr="00A054E0">
        <w:t>carbon</w:t>
      </w:r>
      <w:r w:rsidR="002F20E4" w:rsidRPr="00A054E0">
        <w:t>s</w:t>
      </w:r>
      <w:r w:rsidR="00CF30AF" w:rsidRPr="00A054E0">
        <w:t xml:space="preserve"> with well-defined pores and </w:t>
      </w:r>
      <w:r w:rsidR="00946CA1" w:rsidRPr="00A054E0">
        <w:t>pore size distributions</w:t>
      </w:r>
      <w:r w:rsidR="001D4129">
        <w:t xml:space="preserve"> with quasi- and inelastic neutron scattering methods</w:t>
      </w:r>
      <w:r w:rsidR="00CF30AF" w:rsidRPr="00A054E0">
        <w:t>.</w:t>
      </w:r>
      <w:r w:rsidR="001D4129">
        <w:t xml:space="preserve"> </w:t>
      </w:r>
      <w:r w:rsidR="00A52DEB">
        <w:t>Concerning</w:t>
      </w:r>
      <w:r w:rsidR="001D4129">
        <w:t xml:space="preserve"> previous studies, a wider neutron energy transfer window is </w:t>
      </w:r>
      <w:r w:rsidR="00A52DEB">
        <w:t>investigated</w:t>
      </w:r>
      <w:r w:rsidR="001D4129">
        <w:t xml:space="preserve">, and a detailed quantitative evaluation of the graphitic structure is presented. </w:t>
      </w:r>
      <w:r w:rsidR="001D4129" w:rsidRPr="00DA7C0B">
        <w:t>T</w:t>
      </w:r>
      <w:r w:rsidR="00A728AF" w:rsidRPr="00DA7C0B">
        <w:t>he graphitic structure of the carbon</w:t>
      </w:r>
      <w:r w:rsidR="00652925" w:rsidRPr="00DA7C0B">
        <w:t xml:space="preserve"> is shown to influence t</w:t>
      </w:r>
      <w:r w:rsidR="00A728AF" w:rsidRPr="00DA7C0B">
        <w:t>he speed of the ortho</w:t>
      </w:r>
      <w:r w:rsidR="00A52DEB" w:rsidRPr="00DA7C0B">
        <w:t>-</w:t>
      </w:r>
      <w:r w:rsidR="000947F8" w:rsidRPr="00DA7C0B">
        <w:t>to</w:t>
      </w:r>
      <w:r w:rsidR="00A52DEB" w:rsidRPr="00DA7C0B">
        <w:t>-</w:t>
      </w:r>
      <w:r w:rsidR="00A728AF" w:rsidRPr="00DA7C0B">
        <w:t>para transition of H</w:t>
      </w:r>
      <w:r w:rsidR="00A728AF" w:rsidRPr="00DA7C0B">
        <w:rPr>
          <w:vertAlign w:val="subscript"/>
        </w:rPr>
        <w:t>2</w:t>
      </w:r>
      <w:r w:rsidR="00A728AF" w:rsidRPr="00DA7C0B">
        <w:t>.</w:t>
      </w:r>
      <w:r w:rsidR="001D4129" w:rsidRPr="00DA7C0B">
        <w:t xml:space="preserve"> Namely, the ortho-para transition was the slowest in carbon derived from TiC, which also had the </w:t>
      </w:r>
      <w:r w:rsidR="000947F8" w:rsidRPr="00DA7C0B">
        <w:t xml:space="preserve">smallest average stacking </w:t>
      </w:r>
      <w:r w:rsidR="00950F3D" w:rsidRPr="00DA7C0B">
        <w:t xml:space="preserve">size </w:t>
      </w:r>
      <w:r w:rsidR="000947F8" w:rsidRPr="00DA7C0B">
        <w:t>of graphene layers. The possib</w:t>
      </w:r>
      <w:r w:rsidR="00A52DEB" w:rsidRPr="00DA7C0B">
        <w:t>i</w:t>
      </w:r>
      <w:r w:rsidR="000947F8" w:rsidRPr="00DA7C0B">
        <w:t>lity to inhibit the ortho-para transition in cryo-adsorption</w:t>
      </w:r>
      <w:r w:rsidR="000947F8">
        <w:t xml:space="preserve"> devices is sought after to mitigate </w:t>
      </w:r>
      <w:r w:rsidR="00A52DEB">
        <w:t xml:space="preserve">the </w:t>
      </w:r>
      <w:r w:rsidR="000947F8">
        <w:t>evaporation of H</w:t>
      </w:r>
      <w:r w:rsidR="000947F8" w:rsidRPr="000947F8">
        <w:rPr>
          <w:vertAlign w:val="subscript"/>
        </w:rPr>
        <w:t>2</w:t>
      </w:r>
      <w:r w:rsidR="000947F8">
        <w:t xml:space="preserve"> during storage. </w:t>
      </w:r>
      <w:r w:rsidR="00A728AF">
        <w:t>In addition, t</w:t>
      </w:r>
      <w:r w:rsidR="00CF30AF" w:rsidRPr="00A728AF">
        <w:t xml:space="preserve">he </w:t>
      </w:r>
      <w:r w:rsidR="00DB5D7A">
        <w:t>self-diffusion</w:t>
      </w:r>
      <w:r w:rsidR="00CF30AF" w:rsidRPr="00A054E0">
        <w:t xml:space="preserve"> </w:t>
      </w:r>
      <w:r w:rsidR="00946CA1" w:rsidRPr="00A054E0">
        <w:t>o</w:t>
      </w:r>
      <w:r w:rsidR="00CF30AF" w:rsidRPr="00A054E0">
        <w:t xml:space="preserve">f </w:t>
      </w:r>
      <w:r w:rsidR="00946CA1" w:rsidRPr="00A054E0">
        <w:t>H</w:t>
      </w:r>
      <w:r w:rsidR="00946CA1" w:rsidRPr="00A054E0">
        <w:rPr>
          <w:vertAlign w:val="subscript"/>
        </w:rPr>
        <w:t>2</w:t>
      </w:r>
      <w:r w:rsidR="00946CA1" w:rsidRPr="00A054E0">
        <w:t xml:space="preserve"> in different timescale</w:t>
      </w:r>
      <w:r w:rsidR="007468C5" w:rsidRPr="00A054E0">
        <w:t>s</w:t>
      </w:r>
      <w:r w:rsidR="00946CA1" w:rsidRPr="00A054E0">
        <w:t xml:space="preserve"> </w:t>
      </w:r>
      <w:r w:rsidR="002F20E4" w:rsidRPr="00A054E0">
        <w:t xml:space="preserve">is </w:t>
      </w:r>
      <w:r w:rsidR="00946CA1" w:rsidRPr="00A054E0">
        <w:t>detected</w:t>
      </w:r>
      <w:r w:rsidR="000947F8">
        <w:t xml:space="preserve"> in carbon derived from Mo</w:t>
      </w:r>
      <w:r w:rsidR="000947F8" w:rsidRPr="000947F8">
        <w:rPr>
          <w:vertAlign w:val="subscript"/>
        </w:rPr>
        <w:t>2</w:t>
      </w:r>
      <w:r w:rsidR="000947F8">
        <w:t>C</w:t>
      </w:r>
      <w:r w:rsidR="00652925">
        <w:t>, demonstrat</w:t>
      </w:r>
      <w:r w:rsidR="00A52DEB">
        <w:t>ing</w:t>
      </w:r>
      <w:r w:rsidR="00652925">
        <w:t xml:space="preserve"> the usefulness of obtaining data in a wide energy window</w:t>
      </w:r>
      <w:r w:rsidR="00946CA1" w:rsidRPr="00206122">
        <w:t xml:space="preserve">. </w:t>
      </w:r>
      <w:r w:rsidR="00CF30AF" w:rsidRPr="00206122">
        <w:t xml:space="preserve"> </w:t>
      </w:r>
    </w:p>
    <w:p w14:paraId="70DE6286" w14:textId="77777777" w:rsidR="00AA516F" w:rsidRDefault="00AA516F" w:rsidP="00AC6424">
      <w:pPr>
        <w:pStyle w:val="Abstractbody"/>
        <w:sectPr w:rsidR="00AA516F" w:rsidSect="00036AC2">
          <w:footerReference w:type="first" r:id="rId8"/>
          <w:footnotePr>
            <w:numFmt w:val="chicago"/>
          </w:footnotePr>
          <w:pgSz w:w="11907" w:h="16839" w:code="9"/>
          <w:pgMar w:top="1361" w:right="1134" w:bottom="907" w:left="1134" w:header="567" w:footer="567" w:gutter="0"/>
          <w:pgNumType w:start="1"/>
          <w:cols w:space="720"/>
          <w:titlePg/>
          <w:docGrid w:linePitch="360"/>
        </w:sectPr>
      </w:pPr>
    </w:p>
    <w:p w14:paraId="1E76A272" w14:textId="46B2617D" w:rsidR="00EA0063" w:rsidRPr="00A473A5" w:rsidRDefault="001B64ED" w:rsidP="006B7025">
      <w:pPr>
        <w:pStyle w:val="Section"/>
      </w:pPr>
      <w:r>
        <w:t>Introduction</w:t>
      </w:r>
    </w:p>
    <w:p w14:paraId="6EC83740" w14:textId="761F8EBD" w:rsidR="001F1E8B" w:rsidRDefault="002F20E4" w:rsidP="000B3E9C">
      <w:pPr>
        <w:pStyle w:val="Paragraphfirst"/>
        <w:spacing w:after="2"/>
      </w:pPr>
      <w:r>
        <w:t>Currently, h</w:t>
      </w:r>
      <w:r w:rsidR="001B64ED">
        <w:t xml:space="preserve">ydrogen storage is one of the most expensive </w:t>
      </w:r>
      <w:r>
        <w:t xml:space="preserve">components </w:t>
      </w:r>
      <w:r w:rsidR="001B64ED">
        <w:t>in implement</w:t>
      </w:r>
      <w:r w:rsidR="00A52DEB">
        <w:t>ing entire</w:t>
      </w:r>
      <w:r w:rsidR="001B64ED">
        <w:t xml:space="preserve"> hydrogen value chains </w:t>
      </w:r>
      <w:r w:rsidR="0052735B" w:rsidRPr="0052735B">
        <w:rPr>
          <w:rFonts w:cs="Times"/>
        </w:rPr>
        <w:t>[1]</w:t>
      </w:r>
      <w:r w:rsidR="00C643B2">
        <w:rPr>
          <w:rFonts w:cs="Times"/>
        </w:rPr>
        <w:t>.</w:t>
      </w:r>
      <w:r w:rsidR="0052735B">
        <w:t xml:space="preserve"> </w:t>
      </w:r>
      <w:proofErr w:type="gramStart"/>
      <w:r w:rsidR="001B64ED">
        <w:t>In order to</w:t>
      </w:r>
      <w:proofErr w:type="gramEnd"/>
      <w:r w:rsidR="001B64ED">
        <w:t xml:space="preserve"> increase the density of hydrogen, it needs to be stored either at high pressure (300–700 bar) or at a very low temperature (20</w:t>
      </w:r>
      <w:r w:rsidR="007468C5">
        <w:t> </w:t>
      </w:r>
      <w:r w:rsidR="001B64ED">
        <w:t xml:space="preserve">K). </w:t>
      </w:r>
      <w:r w:rsidR="001F1E8B">
        <w:t>Both</w:t>
      </w:r>
      <w:r w:rsidR="001B64ED">
        <w:t xml:space="preserve"> methods result in a </w:t>
      </w:r>
      <w:r w:rsidR="001F1E8B">
        <w:t xml:space="preserve">significant drop in the overall energy efficiency of the hydrogen value chain. Porous materials have attracted interest as hydrogen storage materials, since these can help to </w:t>
      </w:r>
      <w:r w:rsidR="009D1BE9">
        <w:t>alleviate</w:t>
      </w:r>
      <w:r w:rsidR="001F1E8B">
        <w:t xml:space="preserve"> </w:t>
      </w:r>
      <w:r w:rsidR="00EB2716">
        <w:t xml:space="preserve">the </w:t>
      </w:r>
      <w:r w:rsidR="009D1BE9">
        <w:t>problem of the</w:t>
      </w:r>
      <w:r w:rsidR="00EB2716">
        <w:t xml:space="preserve"> </w:t>
      </w:r>
      <w:r w:rsidR="009D1BE9">
        <w:t xml:space="preserve">unfavourable </w:t>
      </w:r>
      <w:r w:rsidR="00EB2716">
        <w:t>compressibility factor of H</w:t>
      </w:r>
      <w:r w:rsidR="00EB2716" w:rsidRPr="00EB2716">
        <w:rPr>
          <w:vertAlign w:val="subscript"/>
        </w:rPr>
        <w:t>2</w:t>
      </w:r>
      <w:r w:rsidR="00EB2716">
        <w:t xml:space="preserve"> </w:t>
      </w:r>
      <w:r w:rsidR="009D1BE9">
        <w:t xml:space="preserve">at low </w:t>
      </w:r>
      <w:r w:rsidR="001F1E8B">
        <w:t>temperature</w:t>
      </w:r>
      <w:r w:rsidR="009D1BE9">
        <w:t>s</w:t>
      </w:r>
      <w:r w:rsidR="001F1E8B">
        <w:t xml:space="preserve"> and </w:t>
      </w:r>
      <w:r w:rsidR="009D1BE9">
        <w:t xml:space="preserve">high </w:t>
      </w:r>
      <w:r w:rsidR="001F1E8B">
        <w:t>pressure</w:t>
      </w:r>
      <w:r w:rsidR="009D1BE9">
        <w:t>s</w:t>
      </w:r>
      <w:r w:rsidR="001F1E8B">
        <w:t>. Although low temperatures and pressures higher than atmosp</w:t>
      </w:r>
      <w:r w:rsidR="00B80F85">
        <w:t>h</w:t>
      </w:r>
      <w:r w:rsidR="001F1E8B">
        <w:t>eric pressure are still needed</w:t>
      </w:r>
      <w:r w:rsidR="00EB2716">
        <w:t xml:space="preserve"> for H</w:t>
      </w:r>
      <w:r w:rsidR="00EB2716" w:rsidRPr="00EB2716">
        <w:rPr>
          <w:vertAlign w:val="subscript"/>
        </w:rPr>
        <w:t>2</w:t>
      </w:r>
      <w:r w:rsidR="00EB2716">
        <w:t xml:space="preserve"> storage in cryo-adsorption systems,</w:t>
      </w:r>
      <w:r w:rsidR="001F1E8B">
        <w:t xml:space="preserve"> the conditions for hydrogen storage are much milder in the case of porous materials</w:t>
      </w:r>
      <w:r w:rsidR="0052735B">
        <w:t xml:space="preserve"> </w:t>
      </w:r>
      <w:r w:rsidR="0052735B" w:rsidRPr="0052735B">
        <w:rPr>
          <w:rFonts w:cs="Times"/>
        </w:rPr>
        <w:t>[2]</w:t>
      </w:r>
      <w:r w:rsidR="00C643B2">
        <w:rPr>
          <w:rFonts w:cs="Times"/>
        </w:rPr>
        <w:t>.</w:t>
      </w:r>
      <w:r w:rsidR="001F1E8B">
        <w:t xml:space="preserve"> It has been shown that </w:t>
      </w:r>
      <w:r w:rsidR="0083693D">
        <w:t>the optimal conditions for using porous materials for hydrogen storage lie in the temperature range</w:t>
      </w:r>
      <w:r w:rsidR="001F1E8B">
        <w:t xml:space="preserve"> of</w:t>
      </w:r>
      <w:r w:rsidR="00584190">
        <w:t xml:space="preserve"> 77–150</w:t>
      </w:r>
      <w:r w:rsidR="00EB2716">
        <w:t> </w:t>
      </w:r>
      <w:r w:rsidR="00584190">
        <w:t>K</w:t>
      </w:r>
      <w:r w:rsidR="00A52DEB">
        <w:t>,</w:t>
      </w:r>
      <w:r w:rsidR="00584190">
        <w:t xml:space="preserve"> a</w:t>
      </w:r>
      <w:r w:rsidR="001F1E8B">
        <w:t xml:space="preserve">nd the </w:t>
      </w:r>
      <w:r w:rsidR="0052735B">
        <w:t xml:space="preserve">storage pressure </w:t>
      </w:r>
      <w:r w:rsidR="00584190">
        <w:t xml:space="preserve">is up to </w:t>
      </w:r>
      <w:r w:rsidR="0083693D">
        <w:t>approx</w:t>
      </w:r>
      <w:r w:rsidR="00015C3B">
        <w:t>imately</w:t>
      </w:r>
      <w:r w:rsidR="0083693D">
        <w:t xml:space="preserve"> </w:t>
      </w:r>
      <w:r w:rsidR="00584190">
        <w:t>2</w:t>
      </w:r>
      <w:r w:rsidR="0052735B">
        <w:t>50</w:t>
      </w:r>
      <w:r w:rsidR="00EB2716">
        <w:t> </w:t>
      </w:r>
      <w:r w:rsidR="0052735B">
        <w:t>bar.</w:t>
      </w:r>
      <w:r w:rsidR="009D1BE9">
        <w:t xml:space="preserve"> At 80 K</w:t>
      </w:r>
      <w:r w:rsidR="002F72DD">
        <w:t xml:space="preserve"> </w:t>
      </w:r>
      <w:r w:rsidR="002F72DD" w:rsidRPr="000F4142">
        <w:rPr>
          <w:color w:val="FF0000"/>
        </w:rPr>
        <w:t xml:space="preserve">and in the pressure range </w:t>
      </w:r>
      <w:r w:rsidR="00C643B2">
        <w:rPr>
          <w:color w:val="FF0000"/>
        </w:rPr>
        <w:t>from</w:t>
      </w:r>
      <w:r w:rsidR="00C643B2" w:rsidRPr="000F4142">
        <w:rPr>
          <w:color w:val="FF0000"/>
        </w:rPr>
        <w:t xml:space="preserve"> </w:t>
      </w:r>
      <w:r w:rsidR="002F72DD" w:rsidRPr="000F4142">
        <w:rPr>
          <w:color w:val="FF0000"/>
        </w:rPr>
        <w:t>100 to 200 bar</w:t>
      </w:r>
      <w:r w:rsidR="009D1BE9">
        <w:t>, c</w:t>
      </w:r>
      <w:r w:rsidR="00EB2716">
        <w:t xml:space="preserve">ryo-adsorption </w:t>
      </w:r>
      <w:r w:rsidR="0083693D">
        <w:t>vessel</w:t>
      </w:r>
      <w:r w:rsidR="009D1BE9">
        <w:t>s</w:t>
      </w:r>
      <w:r w:rsidR="0083693D">
        <w:t xml:space="preserve"> </w:t>
      </w:r>
      <w:r w:rsidR="009D1BE9">
        <w:t xml:space="preserve">have been </w:t>
      </w:r>
      <w:r w:rsidR="0083693D">
        <w:t>shown to contain up to 20% more H</w:t>
      </w:r>
      <w:r w:rsidR="0083693D" w:rsidRPr="0083693D">
        <w:rPr>
          <w:vertAlign w:val="subscript"/>
        </w:rPr>
        <w:t>2</w:t>
      </w:r>
      <w:r w:rsidR="0083693D">
        <w:t xml:space="preserve"> compared with the corresponding cryo</w:t>
      </w:r>
      <w:r w:rsidR="00A52DEB">
        <w:t>-</w:t>
      </w:r>
      <w:r w:rsidR="0083693D">
        <w:t>compression vessels</w:t>
      </w:r>
      <w:r w:rsidR="009D1BE9">
        <w:t>, which do not contain adsorbents</w:t>
      </w:r>
      <w:r w:rsidR="0083693D">
        <w:t xml:space="preserve"> </w:t>
      </w:r>
      <w:r w:rsidR="0083693D" w:rsidRPr="0083693D">
        <w:rPr>
          <w:rFonts w:cs="Times"/>
        </w:rPr>
        <w:t>[3]</w:t>
      </w:r>
      <w:r w:rsidR="00C643B2">
        <w:rPr>
          <w:rFonts w:cs="Times"/>
        </w:rPr>
        <w:t>.</w:t>
      </w:r>
    </w:p>
    <w:p w14:paraId="6DD111B7" w14:textId="03C3D6BB" w:rsidR="0040171C" w:rsidRDefault="001F1E8B" w:rsidP="00205ADD">
      <w:pPr>
        <w:pStyle w:val="Paragraph"/>
      </w:pPr>
      <w:r>
        <w:t>Carbide</w:t>
      </w:r>
      <w:r w:rsidR="00A52DEB">
        <w:t>-</w:t>
      </w:r>
      <w:r>
        <w:t xml:space="preserve">derived carbons </w:t>
      </w:r>
      <w:r w:rsidR="00805686">
        <w:t xml:space="preserve">(CDCs) </w:t>
      </w:r>
      <w:r>
        <w:t xml:space="preserve">have been shown to be excellent model </w:t>
      </w:r>
      <w:r w:rsidRPr="00FD490C">
        <w:t>materials</w:t>
      </w:r>
      <w:r w:rsidR="009D1BE9" w:rsidRPr="00FD490C">
        <w:t xml:space="preserve"> </w:t>
      </w:r>
      <w:r w:rsidRPr="00FD490C">
        <w:t xml:space="preserve">to </w:t>
      </w:r>
      <w:r w:rsidR="009D1BE9" w:rsidRPr="00FD490C">
        <w:t xml:space="preserve">analyze the effect of </w:t>
      </w:r>
      <w:r w:rsidR="009D1BE9" w:rsidRPr="00FD490C">
        <w:t xml:space="preserve">porous structure on </w:t>
      </w:r>
      <w:r w:rsidR="00FD490C" w:rsidRPr="00FD490C">
        <w:t>performance of the carbon in specific application</w:t>
      </w:r>
      <w:r w:rsidR="00015C3B">
        <w:t>s</w:t>
      </w:r>
      <w:r w:rsidR="00FD490C" w:rsidRPr="00FD490C">
        <w:t xml:space="preserve"> (</w:t>
      </w:r>
      <w:proofErr w:type="gramStart"/>
      <w:r w:rsidR="00FD490C" w:rsidRPr="00FD490C">
        <w:t>e.g.</w:t>
      </w:r>
      <w:proofErr w:type="gramEnd"/>
      <w:r w:rsidR="00FD490C" w:rsidRPr="00FD490C">
        <w:t xml:space="preserve"> H</w:t>
      </w:r>
      <w:r w:rsidR="00FD490C" w:rsidRPr="00FD490C">
        <w:rPr>
          <w:vertAlign w:val="subscript"/>
        </w:rPr>
        <w:t>2</w:t>
      </w:r>
      <w:r w:rsidR="00FD490C" w:rsidRPr="00FD490C">
        <w:t xml:space="preserve"> storage, charge storage in supercapacitors)</w:t>
      </w:r>
      <w:r w:rsidR="0083693D" w:rsidRPr="00FD490C">
        <w:t xml:space="preserve"> </w:t>
      </w:r>
      <w:r w:rsidR="00FD490C" w:rsidRPr="00FD490C">
        <w:rPr>
          <w:rFonts w:cs="Times"/>
        </w:rPr>
        <w:t>[4,5]</w:t>
      </w:r>
      <w:r w:rsidR="00C643B2">
        <w:rPr>
          <w:rFonts w:cs="Times"/>
        </w:rPr>
        <w:t>.</w:t>
      </w:r>
      <w:r w:rsidRPr="00FD490C">
        <w:t xml:space="preserve"> </w:t>
      </w:r>
      <w:bookmarkStart w:id="0" w:name="_Hlk139014539"/>
      <w:r w:rsidR="002F72DD" w:rsidRPr="000F4142">
        <w:rPr>
          <w:color w:val="FF0000"/>
        </w:rPr>
        <w:t>CDCs are synthesized from inorganic carbides (e.g.</w:t>
      </w:r>
      <w:r w:rsidR="00C643B2">
        <w:rPr>
          <w:color w:val="FF0000"/>
        </w:rPr>
        <w:t>,</w:t>
      </w:r>
      <w:r w:rsidR="002F72DD" w:rsidRPr="000F4142">
        <w:rPr>
          <w:color w:val="FF0000"/>
        </w:rPr>
        <w:t xml:space="preserve"> TiC) through the reaction with chlorine at high temperature, typically 700–1200 </w:t>
      </w:r>
      <w:r w:rsidR="002F72DD" w:rsidRPr="000F4142">
        <w:rPr>
          <w:rFonts w:cs="Times"/>
          <w:color w:val="FF0000"/>
        </w:rPr>
        <w:t>°</w:t>
      </w:r>
      <w:r w:rsidR="002F72DD" w:rsidRPr="000F4142">
        <w:rPr>
          <w:color w:val="FF0000"/>
        </w:rPr>
        <w:t>C</w:t>
      </w:r>
      <w:r w:rsidR="00C643B2">
        <w:rPr>
          <w:color w:val="FF0000"/>
        </w:rPr>
        <w:t>, where the formed chloride is removed in gas flow</w:t>
      </w:r>
      <w:r w:rsidR="002F72DD" w:rsidRPr="000F4142">
        <w:rPr>
          <w:color w:val="FF0000"/>
        </w:rPr>
        <w:t xml:space="preserve">. </w:t>
      </w:r>
      <w:r w:rsidR="00C643B2">
        <w:rPr>
          <w:color w:val="FF0000"/>
        </w:rPr>
        <w:t>Thus, from the carbide structure only the chemically pure carbon, noted as CDC, is left behind</w:t>
      </w:r>
      <w:r w:rsidR="002F72DD" w:rsidRPr="000F4142">
        <w:rPr>
          <w:color w:val="FF0000"/>
        </w:rPr>
        <w:t xml:space="preserve">. </w:t>
      </w:r>
      <w:bookmarkEnd w:id="0"/>
      <w:r>
        <w:t xml:space="preserve">It has been previously </w:t>
      </w:r>
      <w:r w:rsidR="001D4129">
        <w:t>shown</w:t>
      </w:r>
      <w:r>
        <w:t xml:space="preserve"> that the average </w:t>
      </w:r>
      <w:r w:rsidR="002212E7">
        <w:t>graphene platelet</w:t>
      </w:r>
      <w:r>
        <w:t xml:space="preserve"> size in these type</w:t>
      </w:r>
      <w:r w:rsidR="0012646D">
        <w:t>s</w:t>
      </w:r>
      <w:r>
        <w:t xml:space="preserve"> of materials is in the range of 2.3</w:t>
      </w:r>
      <w:r w:rsidR="00805686">
        <w:t>–</w:t>
      </w:r>
      <w:r w:rsidR="002212E7">
        <w:t xml:space="preserve">8.2 nm </w:t>
      </w:r>
      <w:r w:rsidR="00FD490C" w:rsidRPr="00FD490C">
        <w:rPr>
          <w:rFonts w:cs="Times"/>
        </w:rPr>
        <w:t>[6]</w:t>
      </w:r>
      <w:r w:rsidR="002212E7">
        <w:t xml:space="preserve">, </w:t>
      </w:r>
      <w:r w:rsidR="0012646D">
        <w:t xml:space="preserve">and </w:t>
      </w:r>
      <w:r w:rsidR="002212E7">
        <w:t xml:space="preserve">the average pore shapes depend on the precursor carbide </w:t>
      </w:r>
      <w:r w:rsidR="00FD490C" w:rsidRPr="00FD490C">
        <w:rPr>
          <w:rFonts w:cs="Times"/>
        </w:rPr>
        <w:t>[7]</w:t>
      </w:r>
      <w:r w:rsidR="002212E7">
        <w:t xml:space="preserve"> and the chlorination temperature</w:t>
      </w:r>
      <w:r w:rsidR="00276AFC">
        <w:t xml:space="preserve"> used</w:t>
      </w:r>
      <w:r w:rsidR="002212E7">
        <w:t xml:space="preserve"> </w:t>
      </w:r>
      <w:r w:rsidR="00FD490C" w:rsidRPr="00FD490C">
        <w:rPr>
          <w:rFonts w:cs="Times"/>
        </w:rPr>
        <w:t>[8]</w:t>
      </w:r>
      <w:r w:rsidR="002212E7">
        <w:t xml:space="preserve">. </w:t>
      </w:r>
      <w:bookmarkStart w:id="1" w:name="_Hlk139014956"/>
      <w:bookmarkStart w:id="2" w:name="_Hlk139015576"/>
      <w:r w:rsidR="0031223A" w:rsidRPr="00DE24EA">
        <w:rPr>
          <w:color w:val="FF0000"/>
        </w:rPr>
        <w:t xml:space="preserve">In a previous </w:t>
      </w:r>
      <w:r w:rsidR="0031223A">
        <w:rPr>
          <w:color w:val="FF0000"/>
        </w:rPr>
        <w:t>q</w:t>
      </w:r>
      <w:r w:rsidR="0031223A" w:rsidRPr="00DE24EA">
        <w:rPr>
          <w:color w:val="FF0000"/>
        </w:rPr>
        <w:t>uasi-elastic neutron scattering (QENS) study on the instrument FOCUS at PSI, the transport properties of H</w:t>
      </w:r>
      <w:r w:rsidR="0031223A" w:rsidRPr="00DE24EA">
        <w:rPr>
          <w:color w:val="FF0000"/>
          <w:vertAlign w:val="subscript"/>
        </w:rPr>
        <w:t>2</w:t>
      </w:r>
      <w:r w:rsidR="0031223A" w:rsidRPr="00DE24EA">
        <w:rPr>
          <w:color w:val="FF0000"/>
        </w:rPr>
        <w:t xml:space="preserve"> in the pores of CDCs derived from SiC, Mo</w:t>
      </w:r>
      <w:r w:rsidR="0031223A" w:rsidRPr="00DE24EA">
        <w:rPr>
          <w:color w:val="FF0000"/>
          <w:vertAlign w:val="subscript"/>
        </w:rPr>
        <w:t>2</w:t>
      </w:r>
      <w:r w:rsidR="0031223A" w:rsidRPr="00DE24EA">
        <w:rPr>
          <w:color w:val="FF0000"/>
        </w:rPr>
        <w:t>C and TiC was investigated in the energy range from -2 to 2 meV</w:t>
      </w:r>
      <w:bookmarkEnd w:id="1"/>
      <w:r w:rsidR="002F72DD" w:rsidRPr="0031223A">
        <w:rPr>
          <w:color w:val="FF0000"/>
        </w:rPr>
        <w:t xml:space="preserve">. </w:t>
      </w:r>
      <w:bookmarkEnd w:id="2"/>
      <w:r w:rsidR="002F72DD" w:rsidRPr="000F4142">
        <w:rPr>
          <w:color w:val="FF0000"/>
        </w:rPr>
        <w:t xml:space="preserve">As a result, </w:t>
      </w:r>
      <w:r w:rsidR="002F72DD">
        <w:rPr>
          <w:color w:val="FF0000"/>
        </w:rPr>
        <w:t>t</w:t>
      </w:r>
      <w:r w:rsidR="002212E7">
        <w:t xml:space="preserve">he sub-nanometer pores of </w:t>
      </w:r>
      <w:r w:rsidR="00066703">
        <w:t>C-</w:t>
      </w:r>
      <w:r w:rsidR="002212E7">
        <w:t>SiC were shown to contain almost immobile hydrogen (</w:t>
      </w:r>
      <w:proofErr w:type="gramStart"/>
      <w:r w:rsidR="002212E7">
        <w:t>i.e.</w:t>
      </w:r>
      <w:proofErr w:type="gramEnd"/>
      <w:r w:rsidR="002212E7">
        <w:t xml:space="preserve"> solid-like) even at a relatively high temperature of 120 K</w:t>
      </w:r>
      <w:r w:rsidR="00805686">
        <w:t xml:space="preserve"> </w:t>
      </w:r>
      <w:r w:rsidR="00FD490C" w:rsidRPr="00FD490C">
        <w:rPr>
          <w:rFonts w:cs="Times"/>
        </w:rPr>
        <w:t>[5]</w:t>
      </w:r>
      <w:r w:rsidR="00C643B2">
        <w:rPr>
          <w:rFonts w:cs="Times"/>
        </w:rPr>
        <w:t>.</w:t>
      </w:r>
      <w:r w:rsidR="002212E7">
        <w:t xml:space="preserve"> In this study, the </w:t>
      </w:r>
      <w:r w:rsidR="0012646D">
        <w:t>Quasi-elastic neutron scattering (</w:t>
      </w:r>
      <w:r w:rsidR="002212E7">
        <w:t>QENS</w:t>
      </w:r>
      <w:r w:rsidR="0012646D">
        <w:t>)</w:t>
      </w:r>
      <w:r w:rsidR="002212E7">
        <w:t xml:space="preserve"> data of H</w:t>
      </w:r>
      <w:r w:rsidR="002212E7" w:rsidRPr="00805686">
        <w:rPr>
          <w:vertAlign w:val="subscript"/>
        </w:rPr>
        <w:t>2</w:t>
      </w:r>
      <w:r w:rsidR="002212E7">
        <w:t xml:space="preserve"> diffusing in the pores of </w:t>
      </w:r>
      <w:r w:rsidR="00805686">
        <w:t xml:space="preserve">CDCs derived from </w:t>
      </w:r>
      <w:r w:rsidR="002212E7">
        <w:t>SiC</w:t>
      </w:r>
      <w:r w:rsidR="00805686">
        <w:t xml:space="preserve">, </w:t>
      </w:r>
      <w:r w:rsidR="002212E7">
        <w:t>Mo</w:t>
      </w:r>
      <w:r w:rsidR="002212E7" w:rsidRPr="00805686">
        <w:rPr>
          <w:vertAlign w:val="subscript"/>
        </w:rPr>
        <w:t>2</w:t>
      </w:r>
      <w:r w:rsidR="002212E7">
        <w:t>C</w:t>
      </w:r>
      <w:r w:rsidR="00805686">
        <w:t xml:space="preserve"> </w:t>
      </w:r>
      <w:r w:rsidR="002212E7">
        <w:t>and TiC is revisited to investigate a larger tran</w:t>
      </w:r>
      <w:r w:rsidR="000A1563">
        <w:t>s</w:t>
      </w:r>
      <w:r w:rsidR="002212E7">
        <w:t>fer energy window with respect to the previous study.</w:t>
      </w:r>
      <w:r w:rsidR="00FD490C">
        <w:t xml:space="preserve"> The aim is to investigate the ortho</w:t>
      </w:r>
      <w:r w:rsidR="00B31190">
        <w:t>-para</w:t>
      </w:r>
      <w:r w:rsidR="00FD490C">
        <w:t xml:space="preserve"> transition band of H</w:t>
      </w:r>
      <w:r w:rsidR="00FD490C" w:rsidRPr="00FD490C">
        <w:rPr>
          <w:vertAlign w:val="subscript"/>
        </w:rPr>
        <w:t>2</w:t>
      </w:r>
      <w:r w:rsidR="00FD490C">
        <w:t xml:space="preserve"> </w:t>
      </w:r>
      <w:r w:rsidR="0025497C">
        <w:t>and</w:t>
      </w:r>
      <w:r w:rsidR="00FD490C">
        <w:t xml:space="preserve"> to </w:t>
      </w:r>
      <w:r w:rsidR="00FD490C">
        <w:lastRenderedPageBreak/>
        <w:t>verify if fast H</w:t>
      </w:r>
      <w:r w:rsidR="00FD490C" w:rsidRPr="00FD490C">
        <w:rPr>
          <w:vertAlign w:val="subscript"/>
        </w:rPr>
        <w:t>2</w:t>
      </w:r>
      <w:r w:rsidR="00FD490C">
        <w:t xml:space="preserve"> diffusion can be detected in the broader energy window.</w:t>
      </w:r>
    </w:p>
    <w:p w14:paraId="61D061FB" w14:textId="43883C63" w:rsidR="0040171C" w:rsidRPr="0040171C" w:rsidRDefault="002212E7" w:rsidP="0040171C">
      <w:pPr>
        <w:pStyle w:val="Section"/>
      </w:pPr>
      <w:r>
        <w:t>Experiment</w:t>
      </w:r>
    </w:p>
    <w:p w14:paraId="7B5A7678" w14:textId="64C8B2FF" w:rsidR="00D40FAD" w:rsidRPr="00D40FAD" w:rsidRDefault="00DB4DA9" w:rsidP="00586EEE">
      <w:pPr>
        <w:pStyle w:val="Paragraphfirst"/>
      </w:pPr>
      <w:r w:rsidRPr="00DB4DA9">
        <w:t xml:space="preserve">The </w:t>
      </w:r>
      <w:r w:rsidR="00530AF2">
        <w:t>precursor carbides and the chlorination temperatures of the studied carbon materials can be seen in Table 1.</w:t>
      </w:r>
    </w:p>
    <w:p w14:paraId="7904AB8C" w14:textId="53938634" w:rsidR="00066703" w:rsidRPr="00036AC2" w:rsidRDefault="00066703" w:rsidP="00066703">
      <w:pPr>
        <w:pStyle w:val="TableCaption"/>
      </w:pPr>
      <w:r w:rsidRPr="00036AC2">
        <w:rPr>
          <w:b/>
          <w:bCs/>
        </w:rPr>
        <w:t>Table 1.</w:t>
      </w:r>
      <w:r w:rsidRPr="00036AC2">
        <w:t xml:space="preserve"> </w:t>
      </w:r>
      <w:r>
        <w:t>Overview of the main synthesis parameters of the studied CDCs</w:t>
      </w:r>
      <w:r w:rsidRPr="00036AC2">
        <w:t>.</w:t>
      </w:r>
    </w:p>
    <w:tbl>
      <w:tblPr>
        <w:tblW w:w="3655" w:type="dxa"/>
        <w:jc w:val="center"/>
        <w:tblLayout w:type="fixed"/>
        <w:tblLook w:val="0000" w:firstRow="0" w:lastRow="0" w:firstColumn="0" w:lastColumn="0" w:noHBand="0" w:noVBand="0"/>
      </w:tblPr>
      <w:tblGrid>
        <w:gridCol w:w="998"/>
        <w:gridCol w:w="992"/>
        <w:gridCol w:w="994"/>
        <w:gridCol w:w="671"/>
      </w:tblGrid>
      <w:tr w:rsidR="00205ADD" w:rsidRPr="00036AC2" w14:paraId="5604EBDC" w14:textId="0B8982DE" w:rsidTr="0045083C">
        <w:trPr>
          <w:trHeight w:val="567"/>
          <w:jc w:val="center"/>
        </w:trPr>
        <w:tc>
          <w:tcPr>
            <w:tcW w:w="998" w:type="dxa"/>
            <w:tcBorders>
              <w:top w:val="single" w:sz="4" w:space="0" w:color="000000"/>
              <w:left w:val="single" w:sz="4" w:space="0" w:color="000000"/>
              <w:bottom w:val="single" w:sz="4" w:space="0" w:color="000000"/>
            </w:tcBorders>
            <w:vAlign w:val="center"/>
          </w:tcPr>
          <w:p w14:paraId="43361B8F" w14:textId="1D9503D2" w:rsidR="00205ADD" w:rsidRPr="009E40B3" w:rsidRDefault="00205ADD" w:rsidP="00066703">
            <w:pPr>
              <w:pStyle w:val="TableHeadBold"/>
              <w:rPr>
                <w:lang w:val="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DCC26FA" w14:textId="4B258E53" w:rsidR="00205ADD" w:rsidRPr="00066703" w:rsidRDefault="00205ADD" w:rsidP="00066703">
            <w:pPr>
              <w:pStyle w:val="TableHeadBold"/>
            </w:pPr>
            <w:r w:rsidRPr="00066703">
              <w:t>Precursor carbide</w:t>
            </w:r>
          </w:p>
        </w:tc>
        <w:tc>
          <w:tcPr>
            <w:tcW w:w="994" w:type="dxa"/>
            <w:tcBorders>
              <w:top w:val="single" w:sz="4" w:space="0" w:color="000000"/>
              <w:left w:val="single" w:sz="4" w:space="0" w:color="000000"/>
              <w:bottom w:val="single" w:sz="4" w:space="0" w:color="000000"/>
              <w:right w:val="single" w:sz="4" w:space="0" w:color="000000"/>
            </w:tcBorders>
            <w:vAlign w:val="center"/>
          </w:tcPr>
          <w:p w14:paraId="6BFFF91E" w14:textId="57431AF5" w:rsidR="00205ADD" w:rsidRPr="00066703" w:rsidRDefault="00205ADD" w:rsidP="00066703">
            <w:pPr>
              <w:pStyle w:val="TableHeadBold"/>
            </w:pPr>
            <w:r w:rsidRPr="00066703">
              <w:t>Chlor</w:t>
            </w:r>
            <w:r>
              <w:t>.</w:t>
            </w:r>
            <w:r w:rsidRPr="00066703">
              <w:t xml:space="preserve"> </w:t>
            </w:r>
            <w:r w:rsidRPr="00586EEE">
              <w:rPr>
                <w:i/>
                <w:iCs/>
              </w:rPr>
              <w:t>T</w:t>
            </w:r>
            <w:r>
              <w:t xml:space="preserve"> </w:t>
            </w:r>
            <w:r w:rsidRPr="00FD5A7C">
              <w:t>°C</w:t>
            </w:r>
          </w:p>
        </w:tc>
        <w:tc>
          <w:tcPr>
            <w:tcW w:w="671" w:type="dxa"/>
            <w:tcBorders>
              <w:top w:val="single" w:sz="4" w:space="0" w:color="000000"/>
              <w:left w:val="single" w:sz="4" w:space="0" w:color="000000"/>
              <w:bottom w:val="single" w:sz="4" w:space="0" w:color="000000"/>
              <w:right w:val="single" w:sz="4" w:space="0" w:color="000000"/>
            </w:tcBorders>
            <w:vAlign w:val="center"/>
          </w:tcPr>
          <w:p w14:paraId="356E3B57" w14:textId="64EC403E" w:rsidR="00205ADD" w:rsidRPr="00066703" w:rsidRDefault="00205ADD" w:rsidP="00066703">
            <w:pPr>
              <w:pStyle w:val="TableHeadBold"/>
            </w:pPr>
            <w:r>
              <w:t>Ref.</w:t>
            </w:r>
          </w:p>
        </w:tc>
      </w:tr>
      <w:tr w:rsidR="00205ADD" w:rsidRPr="00036AC2" w14:paraId="0305D38B" w14:textId="60E75763" w:rsidTr="0045083C">
        <w:trPr>
          <w:trHeight w:val="567"/>
          <w:jc w:val="center"/>
        </w:trPr>
        <w:tc>
          <w:tcPr>
            <w:tcW w:w="998" w:type="dxa"/>
            <w:tcBorders>
              <w:top w:val="single" w:sz="4" w:space="0" w:color="000000"/>
              <w:left w:val="single" w:sz="4" w:space="0" w:color="000000"/>
              <w:bottom w:val="single" w:sz="4" w:space="0" w:color="000000"/>
            </w:tcBorders>
            <w:vAlign w:val="center"/>
          </w:tcPr>
          <w:p w14:paraId="15D9296C" w14:textId="54A6A216" w:rsidR="00205ADD" w:rsidRPr="00036AC2" w:rsidRDefault="00205ADD" w:rsidP="00066703">
            <w:pPr>
              <w:pStyle w:val="Tablecontent"/>
            </w:pPr>
            <w:r>
              <w:t>C-TiC</w:t>
            </w:r>
          </w:p>
        </w:tc>
        <w:tc>
          <w:tcPr>
            <w:tcW w:w="992" w:type="dxa"/>
            <w:tcBorders>
              <w:top w:val="single" w:sz="4" w:space="0" w:color="000000"/>
              <w:left w:val="single" w:sz="4" w:space="0" w:color="000000"/>
              <w:bottom w:val="single" w:sz="4" w:space="0" w:color="000000"/>
              <w:right w:val="single" w:sz="4" w:space="0" w:color="000000"/>
            </w:tcBorders>
            <w:vAlign w:val="center"/>
          </w:tcPr>
          <w:p w14:paraId="4716C72F" w14:textId="58912D12" w:rsidR="00205ADD" w:rsidRPr="00036AC2" w:rsidRDefault="00205ADD" w:rsidP="00066703">
            <w:pPr>
              <w:pStyle w:val="Tablecontent"/>
            </w:pPr>
            <w:r>
              <w:t>TiC</w:t>
            </w:r>
          </w:p>
        </w:tc>
        <w:tc>
          <w:tcPr>
            <w:tcW w:w="994" w:type="dxa"/>
            <w:tcBorders>
              <w:top w:val="single" w:sz="4" w:space="0" w:color="000000"/>
              <w:left w:val="single" w:sz="4" w:space="0" w:color="000000"/>
              <w:bottom w:val="single" w:sz="4" w:space="0" w:color="000000"/>
              <w:right w:val="single" w:sz="4" w:space="0" w:color="000000"/>
            </w:tcBorders>
            <w:vAlign w:val="center"/>
          </w:tcPr>
          <w:p w14:paraId="4FE443B2" w14:textId="0103854A" w:rsidR="00205ADD" w:rsidRDefault="00205ADD" w:rsidP="00066703">
            <w:pPr>
              <w:pStyle w:val="Tablecontent"/>
            </w:pPr>
            <w:r>
              <w:t>950</w:t>
            </w:r>
          </w:p>
        </w:tc>
        <w:tc>
          <w:tcPr>
            <w:tcW w:w="671" w:type="dxa"/>
            <w:tcBorders>
              <w:top w:val="single" w:sz="4" w:space="0" w:color="000000"/>
              <w:left w:val="single" w:sz="4" w:space="0" w:color="000000"/>
              <w:bottom w:val="single" w:sz="4" w:space="0" w:color="000000"/>
              <w:right w:val="single" w:sz="4" w:space="0" w:color="000000"/>
            </w:tcBorders>
            <w:vAlign w:val="center"/>
          </w:tcPr>
          <w:p w14:paraId="2610688D" w14:textId="095AB34F" w:rsidR="00205ADD" w:rsidRDefault="00205ADD" w:rsidP="00EB2716">
            <w:pPr>
              <w:pStyle w:val="Paragraphfirst"/>
              <w:jc w:val="center"/>
            </w:pPr>
            <w:r w:rsidRPr="00FD490C">
              <w:rPr>
                <w:rFonts w:cs="Times"/>
                <w:sz w:val="18"/>
              </w:rPr>
              <w:t>[7,9]</w:t>
            </w:r>
          </w:p>
        </w:tc>
      </w:tr>
      <w:tr w:rsidR="00205ADD" w:rsidRPr="00036AC2" w14:paraId="0EBFA03D" w14:textId="5E87BF2A" w:rsidTr="0045083C">
        <w:trPr>
          <w:trHeight w:val="567"/>
          <w:jc w:val="center"/>
        </w:trPr>
        <w:tc>
          <w:tcPr>
            <w:tcW w:w="998" w:type="dxa"/>
            <w:tcBorders>
              <w:top w:val="single" w:sz="4" w:space="0" w:color="000000"/>
              <w:left w:val="single" w:sz="4" w:space="0" w:color="000000"/>
              <w:bottom w:val="single" w:sz="4" w:space="0" w:color="000000"/>
            </w:tcBorders>
            <w:vAlign w:val="center"/>
          </w:tcPr>
          <w:p w14:paraId="119120BD" w14:textId="17A50CF2" w:rsidR="00205ADD" w:rsidRPr="00036AC2" w:rsidRDefault="00205ADD" w:rsidP="00066703">
            <w:pPr>
              <w:pStyle w:val="Tablecontent"/>
            </w:pPr>
            <w:r>
              <w:t>C-SiC</w:t>
            </w:r>
          </w:p>
        </w:tc>
        <w:tc>
          <w:tcPr>
            <w:tcW w:w="992" w:type="dxa"/>
            <w:tcBorders>
              <w:top w:val="single" w:sz="4" w:space="0" w:color="000000"/>
              <w:left w:val="single" w:sz="4" w:space="0" w:color="000000"/>
              <w:bottom w:val="single" w:sz="4" w:space="0" w:color="000000"/>
              <w:right w:val="single" w:sz="4" w:space="0" w:color="000000"/>
            </w:tcBorders>
            <w:vAlign w:val="center"/>
          </w:tcPr>
          <w:p w14:paraId="07A1B0B5" w14:textId="2900F676" w:rsidR="00205ADD" w:rsidRPr="00036AC2" w:rsidRDefault="00205ADD" w:rsidP="00066703">
            <w:pPr>
              <w:pStyle w:val="Tablecontent"/>
            </w:pPr>
            <w:r>
              <w:t>SiC</w:t>
            </w:r>
          </w:p>
        </w:tc>
        <w:tc>
          <w:tcPr>
            <w:tcW w:w="994" w:type="dxa"/>
            <w:tcBorders>
              <w:top w:val="single" w:sz="4" w:space="0" w:color="000000"/>
              <w:left w:val="single" w:sz="4" w:space="0" w:color="000000"/>
              <w:bottom w:val="single" w:sz="4" w:space="0" w:color="000000"/>
              <w:right w:val="single" w:sz="4" w:space="0" w:color="000000"/>
            </w:tcBorders>
            <w:vAlign w:val="center"/>
          </w:tcPr>
          <w:p w14:paraId="6104C327" w14:textId="64ADF7AD" w:rsidR="00205ADD" w:rsidRDefault="00205ADD" w:rsidP="00066703">
            <w:pPr>
              <w:pStyle w:val="Tablecontent"/>
            </w:pPr>
            <w:r>
              <w:t>1000</w:t>
            </w:r>
          </w:p>
        </w:tc>
        <w:tc>
          <w:tcPr>
            <w:tcW w:w="671" w:type="dxa"/>
            <w:tcBorders>
              <w:top w:val="single" w:sz="4" w:space="0" w:color="000000"/>
              <w:left w:val="single" w:sz="4" w:space="0" w:color="000000"/>
              <w:bottom w:val="single" w:sz="4" w:space="0" w:color="000000"/>
              <w:right w:val="single" w:sz="4" w:space="0" w:color="000000"/>
            </w:tcBorders>
            <w:vAlign w:val="center"/>
          </w:tcPr>
          <w:p w14:paraId="18BD9536" w14:textId="5F2B51B4" w:rsidR="00205ADD" w:rsidRDefault="00205ADD" w:rsidP="00835E00">
            <w:pPr>
              <w:pStyle w:val="Paragraphfirst"/>
              <w:jc w:val="center"/>
            </w:pPr>
            <w:r w:rsidRPr="00FD490C">
              <w:rPr>
                <w:rFonts w:cs="Times"/>
                <w:sz w:val="18"/>
              </w:rPr>
              <w:t>[7,10]</w:t>
            </w:r>
          </w:p>
        </w:tc>
      </w:tr>
      <w:tr w:rsidR="00205ADD" w:rsidRPr="00205ADD" w14:paraId="304CC3E2" w14:textId="3C12021F" w:rsidTr="0045083C">
        <w:trPr>
          <w:trHeight w:val="567"/>
          <w:jc w:val="center"/>
        </w:trPr>
        <w:tc>
          <w:tcPr>
            <w:tcW w:w="998" w:type="dxa"/>
            <w:tcBorders>
              <w:top w:val="single" w:sz="4" w:space="0" w:color="000000"/>
              <w:left w:val="single" w:sz="4" w:space="0" w:color="000000"/>
              <w:bottom w:val="single" w:sz="4" w:space="0" w:color="000000"/>
            </w:tcBorders>
            <w:vAlign w:val="center"/>
          </w:tcPr>
          <w:p w14:paraId="7A7C48D9" w14:textId="62AAF5D2" w:rsidR="00205ADD" w:rsidRPr="00036AC2" w:rsidRDefault="00205ADD" w:rsidP="00066703">
            <w:pPr>
              <w:pStyle w:val="Tablecontent"/>
            </w:pPr>
            <w:r>
              <w:t>C-Mo</w:t>
            </w:r>
            <w:r w:rsidRPr="00B15EA5">
              <w:rPr>
                <w:vertAlign w:val="subscript"/>
              </w:rPr>
              <w:t>2</w:t>
            </w:r>
            <w:r>
              <w:t>C</w:t>
            </w:r>
          </w:p>
        </w:tc>
        <w:tc>
          <w:tcPr>
            <w:tcW w:w="992" w:type="dxa"/>
            <w:tcBorders>
              <w:top w:val="single" w:sz="4" w:space="0" w:color="000000"/>
              <w:left w:val="single" w:sz="4" w:space="0" w:color="000000"/>
              <w:bottom w:val="single" w:sz="4" w:space="0" w:color="000000"/>
              <w:right w:val="single" w:sz="4" w:space="0" w:color="000000"/>
            </w:tcBorders>
            <w:vAlign w:val="center"/>
          </w:tcPr>
          <w:p w14:paraId="0D03B953" w14:textId="6FF66959" w:rsidR="00205ADD" w:rsidRPr="00036AC2" w:rsidRDefault="00205ADD" w:rsidP="00066703">
            <w:pPr>
              <w:pStyle w:val="Tablecontent"/>
            </w:pPr>
            <w:r>
              <w:t>Mo</w:t>
            </w:r>
            <w:r w:rsidRPr="00B15EA5">
              <w:rPr>
                <w:vertAlign w:val="subscript"/>
              </w:rPr>
              <w:t>2</w:t>
            </w:r>
            <w:r>
              <w:t>C</w:t>
            </w:r>
          </w:p>
        </w:tc>
        <w:tc>
          <w:tcPr>
            <w:tcW w:w="994" w:type="dxa"/>
            <w:tcBorders>
              <w:top w:val="single" w:sz="4" w:space="0" w:color="000000"/>
              <w:left w:val="single" w:sz="4" w:space="0" w:color="000000"/>
              <w:bottom w:val="single" w:sz="4" w:space="0" w:color="000000"/>
              <w:right w:val="single" w:sz="4" w:space="0" w:color="000000"/>
            </w:tcBorders>
            <w:vAlign w:val="center"/>
          </w:tcPr>
          <w:p w14:paraId="62E96ECE" w14:textId="5AEF5962" w:rsidR="00205ADD" w:rsidRDefault="00205ADD" w:rsidP="00066703">
            <w:pPr>
              <w:pStyle w:val="Tablecontent"/>
            </w:pPr>
            <w:r>
              <w:t>1000</w:t>
            </w:r>
          </w:p>
        </w:tc>
        <w:tc>
          <w:tcPr>
            <w:tcW w:w="671" w:type="dxa"/>
            <w:tcBorders>
              <w:top w:val="single" w:sz="4" w:space="0" w:color="000000"/>
              <w:left w:val="single" w:sz="4" w:space="0" w:color="000000"/>
              <w:bottom w:val="single" w:sz="4" w:space="0" w:color="000000"/>
              <w:right w:val="single" w:sz="4" w:space="0" w:color="000000"/>
            </w:tcBorders>
            <w:vAlign w:val="center"/>
          </w:tcPr>
          <w:p w14:paraId="19E8405F" w14:textId="170AFEED" w:rsidR="00205ADD" w:rsidRPr="00655D5B" w:rsidRDefault="00205ADD" w:rsidP="00EB2716">
            <w:pPr>
              <w:pStyle w:val="Paragraphfirst"/>
              <w:jc w:val="center"/>
              <w:rPr>
                <w:lang w:val="en-US"/>
              </w:rPr>
            </w:pPr>
            <w:r w:rsidRPr="00FD490C">
              <w:rPr>
                <w:rFonts w:cs="Times"/>
                <w:sz w:val="18"/>
              </w:rPr>
              <w:t>[7,11]</w:t>
            </w:r>
          </w:p>
        </w:tc>
      </w:tr>
    </w:tbl>
    <w:p w14:paraId="64B9B7BC" w14:textId="77777777" w:rsidR="00205ADD" w:rsidRDefault="00205ADD" w:rsidP="00036AC2">
      <w:pPr>
        <w:pStyle w:val="Paragraphfirst"/>
      </w:pPr>
    </w:p>
    <w:p w14:paraId="09159A13" w14:textId="112F102D" w:rsidR="00205ADD" w:rsidRDefault="005A1AA6" w:rsidP="00205ADD">
      <w:pPr>
        <w:pStyle w:val="Paragraphfirst"/>
      </w:pPr>
      <w:r>
        <w:tab/>
      </w:r>
      <w:r w:rsidR="00205ADD">
        <w:t xml:space="preserve">X-ray diffraction patterns </w:t>
      </w:r>
      <w:r w:rsidR="00205ADD" w:rsidRPr="00205ADD">
        <w:t xml:space="preserve">were measured using </w:t>
      </w:r>
      <w:r w:rsidR="00205ADD" w:rsidRPr="00FA2043">
        <w:rPr>
          <w:color w:val="FF0000"/>
        </w:rPr>
        <w:t xml:space="preserve">D8 Advance diffractometer (Bruker) </w:t>
      </w:r>
      <w:r w:rsidR="00205ADD" w:rsidRPr="00205ADD">
        <w:t xml:space="preserve">with Cu Kα radiation and Bragg-Brentano geometry. </w:t>
      </w:r>
      <w:r w:rsidR="00205ADD">
        <w:t>To obtain structural parameters, the d</w:t>
      </w:r>
      <w:r w:rsidR="00205ADD" w:rsidRPr="00205ADD">
        <w:t>ata w</w:t>
      </w:r>
      <w:r w:rsidR="00DB5D7A">
        <w:t>ere</w:t>
      </w:r>
      <w:r w:rsidR="00205ADD" w:rsidRPr="00205ADD">
        <w:t xml:space="preserve"> fitted with </w:t>
      </w:r>
      <w:r w:rsidR="00205ADD">
        <w:t>the</w:t>
      </w:r>
      <w:r w:rsidR="00205ADD" w:rsidRPr="00205ADD">
        <w:t xml:space="preserve"> Ruland and Smarsly </w:t>
      </w:r>
      <w:r w:rsidR="00205ADD">
        <w:t xml:space="preserve">algorithm </w:t>
      </w:r>
      <w:r w:rsidR="00205ADD" w:rsidRPr="00205ADD">
        <w:rPr>
          <w:rFonts w:cs="Times"/>
        </w:rPr>
        <w:t>[12]</w:t>
      </w:r>
      <w:r w:rsidR="00205ADD">
        <w:t xml:space="preserve"> </w:t>
      </w:r>
      <w:r w:rsidR="00205ADD" w:rsidRPr="00205ADD">
        <w:t xml:space="preserve">using the CarbX software (https://www.uni-giessen.de/CarbX) </w:t>
      </w:r>
      <w:r w:rsidR="00205ADD" w:rsidRPr="00205ADD">
        <w:rPr>
          <w:rFonts w:cs="Times"/>
        </w:rPr>
        <w:t>[13]</w:t>
      </w:r>
      <w:r w:rsidR="00205ADD" w:rsidRPr="00205ADD">
        <w:t>.</w:t>
      </w:r>
    </w:p>
    <w:p w14:paraId="107670A0" w14:textId="5067CE88" w:rsidR="001F1E8B" w:rsidRDefault="00DB4DA9" w:rsidP="00205ADD">
      <w:pPr>
        <w:pStyle w:val="Paragraph"/>
      </w:pPr>
      <w:r w:rsidRPr="00205ADD">
        <w:t>QENS measurements of</w:t>
      </w:r>
      <w:r w:rsidRPr="00DB4DA9">
        <w:t xml:space="preserve"> </w:t>
      </w:r>
      <w:r>
        <w:t>H</w:t>
      </w:r>
      <w:r w:rsidRPr="001F3D65">
        <w:rPr>
          <w:vertAlign w:val="subscript"/>
        </w:rPr>
        <w:t>2</w:t>
      </w:r>
      <w:r>
        <w:t xml:space="preserve"> </w:t>
      </w:r>
      <w:r w:rsidRPr="00DB4DA9">
        <w:t>adsorbed in C</w:t>
      </w:r>
      <w:r>
        <w:t>-</w:t>
      </w:r>
      <w:r w:rsidRPr="00DB4DA9">
        <w:t>TiC, C</w:t>
      </w:r>
      <w:r>
        <w:t>-</w:t>
      </w:r>
      <w:r w:rsidRPr="00DB4DA9">
        <w:t>SiC, and C</w:t>
      </w:r>
      <w:r>
        <w:t>-</w:t>
      </w:r>
      <w:r w:rsidRPr="00DB4DA9">
        <w:t>Mo</w:t>
      </w:r>
      <w:r w:rsidRPr="001F3D65">
        <w:rPr>
          <w:vertAlign w:val="subscript"/>
        </w:rPr>
        <w:t>2</w:t>
      </w:r>
      <w:r w:rsidRPr="00DB4DA9">
        <w:t>C</w:t>
      </w:r>
      <w:r w:rsidR="00066703">
        <w:t xml:space="preserve"> </w:t>
      </w:r>
      <w:r w:rsidRPr="00DB4DA9">
        <w:t xml:space="preserve">were performed at Paul Scherrer Institute in Villigen, Switzerland, on the cold neutron time-of-flight spectrometer FOCUS </w:t>
      </w:r>
      <w:r w:rsidR="00205ADD" w:rsidRPr="00205ADD">
        <w:rPr>
          <w:rFonts w:cs="Times"/>
        </w:rPr>
        <w:t>[14]</w:t>
      </w:r>
      <w:r w:rsidRPr="00DB4DA9">
        <w:t xml:space="preserve"> with incident neutron wavelength of 5.02 Å and the elastic energy resolution of 100</w:t>
      </w:r>
      <w:r w:rsidR="001F3D65">
        <w:t> </w:t>
      </w:r>
      <w:r w:rsidR="002B0996">
        <w:sym w:font="Symbol" w:char="F06D"/>
      </w:r>
      <w:r w:rsidRPr="00DB4DA9">
        <w:t>eV.</w:t>
      </w:r>
      <w:r>
        <w:t xml:space="preserve"> </w:t>
      </w:r>
      <w:r w:rsidR="002B0996">
        <w:t>D</w:t>
      </w:r>
      <w:r w:rsidR="00C7146E">
        <w:t xml:space="preserve">ata </w:t>
      </w:r>
      <w:r w:rsidR="002B0996">
        <w:t>w</w:t>
      </w:r>
      <w:r w:rsidR="00DB5D7A">
        <w:t>ere</w:t>
      </w:r>
      <w:r w:rsidR="002B0996">
        <w:t xml:space="preserve"> obtained in </w:t>
      </w:r>
      <w:r w:rsidR="00C7146E">
        <w:t xml:space="preserve">the energy </w:t>
      </w:r>
      <w:r w:rsidR="002B0996">
        <w:t xml:space="preserve">transfer </w:t>
      </w:r>
      <w:r w:rsidR="00C7146E">
        <w:t xml:space="preserve">range of </w:t>
      </w:r>
      <w:r w:rsidR="00293881" w:rsidRPr="00E64BAF">
        <w:rPr>
          <w:i/>
          <w:iCs/>
          <w:color w:val="FF0000"/>
        </w:rPr>
        <w:t>E</w:t>
      </w:r>
      <w:r w:rsidR="00293881">
        <w:t xml:space="preserve"> = </w:t>
      </w:r>
      <w:r w:rsidR="00C7146E">
        <w:rPr>
          <w:rFonts w:ascii="Arial" w:hAnsi="Arial" w:cs="Arial"/>
        </w:rPr>
        <w:t>−</w:t>
      </w:r>
      <w:r w:rsidR="00C7146E">
        <w:t>37</w:t>
      </w:r>
      <w:r w:rsidR="00293881">
        <w:t> meV</w:t>
      </w:r>
      <w:r w:rsidR="00C7146E">
        <w:t xml:space="preserve"> to 2 meV and scattering vector</w:t>
      </w:r>
      <w:r w:rsidR="002B0996">
        <w:t>,</w:t>
      </w:r>
      <w:r w:rsidR="00C7146E">
        <w:t xml:space="preserve"> </w:t>
      </w:r>
      <w:r w:rsidR="00C7146E" w:rsidRPr="00C7146E">
        <w:rPr>
          <w:i/>
          <w:iCs/>
        </w:rPr>
        <w:t>Q</w:t>
      </w:r>
      <w:r w:rsidR="002B0996">
        <w:t>,</w:t>
      </w:r>
      <w:r w:rsidR="00C7146E">
        <w:t xml:space="preserve"> range of</w:t>
      </w:r>
      <w:r w:rsidR="00362E10">
        <w:t xml:space="preserve"> 0.4–2.5 </w:t>
      </w:r>
      <w:r w:rsidR="00362E10" w:rsidRPr="00362E10">
        <w:t>Å</w:t>
      </w:r>
      <w:r w:rsidR="00362E10" w:rsidRPr="00362E10">
        <w:rPr>
          <w:rFonts w:ascii="Arial" w:hAnsi="Arial" w:cs="Arial"/>
          <w:vertAlign w:val="superscript"/>
        </w:rPr>
        <w:t>−</w:t>
      </w:r>
      <w:r w:rsidR="00362E10" w:rsidRPr="00362E10">
        <w:rPr>
          <w:vertAlign w:val="superscript"/>
        </w:rPr>
        <w:t>1</w:t>
      </w:r>
      <w:r w:rsidR="002F72DD">
        <w:t xml:space="preserve"> </w:t>
      </w:r>
      <w:r w:rsidR="002F72DD" w:rsidRPr="00506647">
        <w:rPr>
          <w:color w:val="FF0000"/>
        </w:rPr>
        <w:t xml:space="preserve">(corresponding </w:t>
      </w:r>
      <w:r w:rsidR="002F72DD">
        <w:rPr>
          <w:color w:val="FF0000"/>
        </w:rPr>
        <w:t xml:space="preserve">scattering </w:t>
      </w:r>
      <w:r w:rsidR="002F72DD" w:rsidRPr="00506647">
        <w:rPr>
          <w:color w:val="FF0000"/>
        </w:rPr>
        <w:t>angle range 2</w:t>
      </w:r>
      <w:r w:rsidR="002F72DD" w:rsidRPr="00506647">
        <w:rPr>
          <w:rFonts w:ascii="Times New Roman" w:hAnsi="Times New Roman" w:cs="Times New Roman"/>
          <w:i/>
          <w:iCs/>
          <w:color w:val="FF0000"/>
        </w:rPr>
        <w:t>θ</w:t>
      </w:r>
      <w:r w:rsidR="002F72DD" w:rsidRPr="00506647">
        <w:rPr>
          <w:rFonts w:ascii="Times New Roman" w:hAnsi="Times New Roman" w:cs="Times New Roman"/>
          <w:color w:val="FF0000"/>
        </w:rPr>
        <w:t xml:space="preserve"> </w:t>
      </w:r>
      <w:r w:rsidR="002F72DD" w:rsidRPr="00506647">
        <w:rPr>
          <w:color w:val="FF0000"/>
        </w:rPr>
        <w:t>18–174</w:t>
      </w:r>
      <w:r w:rsidR="002F72DD" w:rsidRPr="00506647">
        <w:rPr>
          <w:rFonts w:cs="Times"/>
          <w:color w:val="FF0000"/>
        </w:rPr>
        <w:t>°</w:t>
      </w:r>
      <w:r w:rsidR="002F72DD" w:rsidRPr="00506647">
        <w:rPr>
          <w:color w:val="FF0000"/>
        </w:rPr>
        <w:t>)</w:t>
      </w:r>
      <w:r w:rsidR="002F72DD">
        <w:rPr>
          <w:color w:val="FF0000"/>
        </w:rPr>
        <w:t>.</w:t>
      </w:r>
      <w:r w:rsidR="00C7146E">
        <w:t xml:space="preserve"> </w:t>
      </w:r>
      <w:r>
        <w:t xml:space="preserve">A </w:t>
      </w:r>
      <w:r w:rsidRPr="00DB4DA9">
        <w:t>cylindrical</w:t>
      </w:r>
      <w:r>
        <w:t xml:space="preserve"> aluminium</w:t>
      </w:r>
      <w:r w:rsidRPr="00DB4DA9">
        <w:t xml:space="preserve"> sample holder with an inner cylinder</w:t>
      </w:r>
      <w:r w:rsidR="00D40FAD">
        <w:t xml:space="preserve"> was used for all samples. The outer diameter of the sample was 1.02 cm</w:t>
      </w:r>
      <w:r w:rsidR="0045083C">
        <w:t>,</w:t>
      </w:r>
      <w:r w:rsidR="00D40FAD">
        <w:t xml:space="preserve"> and </w:t>
      </w:r>
      <w:r w:rsidR="0045083C">
        <w:t xml:space="preserve">the </w:t>
      </w:r>
      <w:r w:rsidR="00D40FAD">
        <w:t>inner diameter of the sample was 0.555 cm.</w:t>
      </w:r>
      <w:r>
        <w:t xml:space="preserve"> Empty sample holder and vanadium m</w:t>
      </w:r>
      <w:r w:rsidRPr="00DB4DA9">
        <w:t xml:space="preserve">easurements </w:t>
      </w:r>
      <w:r>
        <w:t>w</w:t>
      </w:r>
      <w:r w:rsidRPr="00DB4DA9">
        <w:t xml:space="preserve">ere </w:t>
      </w:r>
      <w:r w:rsidR="002F72DD" w:rsidRPr="002F72DD">
        <w:t xml:space="preserve">performed for </w:t>
      </w:r>
      <w:r w:rsidR="002F72DD" w:rsidRPr="00506647">
        <w:rPr>
          <w:color w:val="FF0000"/>
        </w:rPr>
        <w:t>background subtraction and data correction</w:t>
      </w:r>
      <w:r w:rsidRPr="00DB4DA9">
        <w:t>.</w:t>
      </w:r>
    </w:p>
    <w:p w14:paraId="0C03CC91" w14:textId="41DDDD99" w:rsidR="002F72DD" w:rsidRPr="00F67721" w:rsidRDefault="00755D80" w:rsidP="002F72DD">
      <w:pPr>
        <w:pStyle w:val="Paragraph"/>
        <w:rPr>
          <w:color w:val="FF0000"/>
        </w:rPr>
      </w:pPr>
      <w:r w:rsidRPr="00755D80">
        <w:t>Before the QENS measurement, all three CDCs were outgassed</w:t>
      </w:r>
      <w:r>
        <w:t xml:space="preserve"> to</w:t>
      </w:r>
      <w:r w:rsidRPr="00755D80">
        <w:t xml:space="preserve"> remove moisture and other adsorbed species.</w:t>
      </w:r>
      <w:r>
        <w:t xml:space="preserve"> After the outgassing process, the CDCs were transferred into the sample holder</w:t>
      </w:r>
      <w:r w:rsidR="0045083C">
        <w:t xml:space="preserve"> in a glovebox</w:t>
      </w:r>
      <w:r>
        <w:t xml:space="preserve">. The signal from the outgassed samples was measured </w:t>
      </w:r>
      <w:r w:rsidR="00B31190">
        <w:t>in</w:t>
      </w:r>
      <w:r>
        <w:t xml:space="preserve"> </w:t>
      </w:r>
      <w:r w:rsidR="0045083C">
        <w:t xml:space="preserve">the </w:t>
      </w:r>
      <w:r>
        <w:t>temperature rang</w:t>
      </w:r>
      <w:r w:rsidR="00B31190">
        <w:t xml:space="preserve">e </w:t>
      </w:r>
      <w:r w:rsidR="0045083C">
        <w:t xml:space="preserve">of </w:t>
      </w:r>
      <w:r>
        <w:t>10</w:t>
      </w:r>
      <w:r w:rsidR="00B31190">
        <w:t>–</w:t>
      </w:r>
      <w:r>
        <w:t>120</w:t>
      </w:r>
      <w:r w:rsidR="00B31190">
        <w:t xml:space="preserve"> </w:t>
      </w:r>
      <w:r>
        <w:t>K. H</w:t>
      </w:r>
      <w:r w:rsidRPr="00755D80">
        <w:rPr>
          <w:vertAlign w:val="subscript"/>
        </w:rPr>
        <w:t>2</w:t>
      </w:r>
      <w:r>
        <w:t xml:space="preserve"> </w:t>
      </w:r>
      <w:r w:rsidR="00043999">
        <w:t>with normal ortho-para content</w:t>
      </w:r>
      <w:r w:rsidR="002F72DD">
        <w:t xml:space="preserve"> </w:t>
      </w:r>
      <w:r w:rsidR="002F72DD" w:rsidRPr="00506647">
        <w:rPr>
          <w:color w:val="FF0000"/>
        </w:rPr>
        <w:t>(3:1)</w:t>
      </w:r>
      <w:r w:rsidR="00043999">
        <w:t xml:space="preserve"> </w:t>
      </w:r>
      <w:r>
        <w:t xml:space="preserve">was dosed in the sample holder at 77 K until the pressure reached the </w:t>
      </w:r>
      <w:r w:rsidRPr="00755D80">
        <w:rPr>
          <w:i/>
          <w:iCs/>
        </w:rPr>
        <w:t>p</w:t>
      </w:r>
      <w:r w:rsidRPr="00755D80">
        <w:rPr>
          <w:vertAlign w:val="subscript"/>
        </w:rPr>
        <w:t>H</w:t>
      </w:r>
      <w:proofErr w:type="gramStart"/>
      <w:r w:rsidRPr="00755D80">
        <w:rPr>
          <w:vertAlign w:val="subscript"/>
        </w:rPr>
        <w:t>2,load</w:t>
      </w:r>
      <w:proofErr w:type="gramEnd"/>
      <w:r w:rsidRPr="00755D80">
        <w:rPr>
          <w:vertAlign w:val="subscript"/>
        </w:rPr>
        <w:t xml:space="preserve"> </w:t>
      </w:r>
      <w:r>
        <w:t xml:space="preserve">value (Table </w:t>
      </w:r>
      <w:r w:rsidR="0045083C">
        <w:t>2</w:t>
      </w:r>
      <w:r>
        <w:t>). The adsorption equilibrium was established</w:t>
      </w:r>
      <w:r w:rsidR="0045083C">
        <w:t xml:space="preserve"> and</w:t>
      </w:r>
      <w:r>
        <w:t>, thereafter</w:t>
      </w:r>
      <w:r w:rsidR="00F15014">
        <w:t>,</w:t>
      </w:r>
      <w:r>
        <w:t xml:space="preserve"> the sample holder was </w:t>
      </w:r>
      <w:r w:rsidR="0031223A" w:rsidRPr="00DE24EA">
        <w:rPr>
          <w:color w:val="FF0000"/>
        </w:rPr>
        <w:t>hermetically sealed</w:t>
      </w:r>
      <w:r w:rsidR="00C643B2">
        <w:rPr>
          <w:color w:val="FF0000"/>
        </w:rPr>
        <w:t xml:space="preserve"> and,</w:t>
      </w:r>
      <w:r w:rsidR="0031223A">
        <w:rPr>
          <w:color w:val="FF0000"/>
        </w:rPr>
        <w:t xml:space="preserve"> thus, disconnecting it</w:t>
      </w:r>
      <w:r w:rsidR="0031223A" w:rsidRPr="00DE24EA">
        <w:rPr>
          <w:color w:val="FF0000"/>
        </w:rPr>
        <w:t xml:space="preserve"> </w:t>
      </w:r>
      <w:r>
        <w:t>from the gas dosing apparatus</w:t>
      </w:r>
      <w:r w:rsidR="0031223A">
        <w:t>,</w:t>
      </w:r>
      <w:r>
        <w:t xml:space="preserve"> and </w:t>
      </w:r>
      <w:r w:rsidR="00C7146E">
        <w:t>data w</w:t>
      </w:r>
      <w:r w:rsidR="00DB5D7A">
        <w:t>ere</w:t>
      </w:r>
      <w:r w:rsidR="00C7146E">
        <w:t xml:space="preserve"> measured at different temperatures ranging from 10</w:t>
      </w:r>
      <w:r w:rsidR="00B31190">
        <w:t xml:space="preserve"> to </w:t>
      </w:r>
      <w:r w:rsidR="00C7146E">
        <w:t>120 K</w:t>
      </w:r>
      <w:r>
        <w:t xml:space="preserve">. </w:t>
      </w:r>
      <w:bookmarkStart w:id="3" w:name="_Hlk139071198"/>
      <w:r w:rsidR="0031223A" w:rsidRPr="00DE24EA">
        <w:rPr>
          <w:color w:val="FF0000"/>
        </w:rPr>
        <w:t>H</w:t>
      </w:r>
      <w:r w:rsidR="0031223A" w:rsidRPr="00DE24EA">
        <w:rPr>
          <w:color w:val="FF0000"/>
          <w:vertAlign w:val="subscript"/>
        </w:rPr>
        <w:t>2</w:t>
      </w:r>
      <w:r w:rsidR="0031223A" w:rsidRPr="00DE24EA">
        <w:rPr>
          <w:color w:val="FF0000"/>
        </w:rPr>
        <w:t xml:space="preserve"> pressure in the sample holder varied according to the reached adsorption equilibrium at each experimental temperature point as the sample holder was hermetically sealed during the experiment</w:t>
      </w:r>
      <w:r w:rsidR="00C643B2">
        <w:rPr>
          <w:color w:val="FF0000"/>
        </w:rPr>
        <w:t>.</w:t>
      </w:r>
      <w:bookmarkEnd w:id="3"/>
    </w:p>
    <w:p w14:paraId="08936CD2" w14:textId="08CB7EB1" w:rsidR="00C7146E" w:rsidRDefault="00C7146E" w:rsidP="00C7146E">
      <w:pPr>
        <w:pStyle w:val="Paragraph"/>
      </w:pPr>
    </w:p>
    <w:p w14:paraId="07056D55" w14:textId="0704750C" w:rsidR="00205ADD" w:rsidRPr="00036AC2" w:rsidRDefault="00205ADD" w:rsidP="00205ADD">
      <w:pPr>
        <w:pStyle w:val="TableCaption"/>
      </w:pPr>
      <w:r w:rsidRPr="00036AC2">
        <w:rPr>
          <w:b/>
          <w:bCs/>
        </w:rPr>
        <w:t xml:space="preserve">Table </w:t>
      </w:r>
      <w:r>
        <w:rPr>
          <w:b/>
          <w:bCs/>
        </w:rPr>
        <w:t>2</w:t>
      </w:r>
      <w:r w:rsidRPr="00036AC2">
        <w:rPr>
          <w:b/>
          <w:bCs/>
        </w:rPr>
        <w:t>.</w:t>
      </w:r>
      <w:r w:rsidRPr="00036AC2">
        <w:t xml:space="preserve"> </w:t>
      </w:r>
      <w:r>
        <w:t xml:space="preserve">Conditions for hydrogen loading, </w:t>
      </w:r>
      <w:r w:rsidRPr="001B64ED">
        <w:rPr>
          <w:i/>
        </w:rPr>
        <w:t>p</w:t>
      </w:r>
      <w:r w:rsidRPr="001B64ED">
        <w:rPr>
          <w:vertAlign w:val="subscript"/>
        </w:rPr>
        <w:t>H</w:t>
      </w:r>
      <w:r w:rsidRPr="00755D80">
        <w:rPr>
          <w:vertAlign w:val="subscript"/>
        </w:rPr>
        <w:t>2,load</w:t>
      </w:r>
      <w:r>
        <w:t>, is the H</w:t>
      </w:r>
      <w:r w:rsidRPr="00755D80">
        <w:rPr>
          <w:vertAlign w:val="subscript"/>
        </w:rPr>
        <w:t>2</w:t>
      </w:r>
      <w:r>
        <w:t xml:space="preserve"> pressure in the sample holder at 77 K, </w:t>
      </w:r>
      <w:r w:rsidRPr="001B64ED">
        <w:rPr>
          <w:i/>
        </w:rPr>
        <w:t>n</w:t>
      </w:r>
      <w:r w:rsidRPr="001B64ED">
        <w:rPr>
          <w:vertAlign w:val="subscript"/>
        </w:rPr>
        <w:t>H2</w:t>
      </w:r>
      <w:r>
        <w:t>, mmol g</w:t>
      </w:r>
      <w:r>
        <w:rPr>
          <w:vertAlign w:val="superscript"/>
        </w:rPr>
        <w:sym w:font="Symbol" w:char="F02D"/>
      </w:r>
      <w:r w:rsidRPr="00755D80">
        <w:rPr>
          <w:vertAlign w:val="superscript"/>
        </w:rPr>
        <w:t>1</w:t>
      </w:r>
      <w:r>
        <w:t xml:space="preserve"> is the total amount of H</w:t>
      </w:r>
      <w:r w:rsidRPr="00755D80">
        <w:rPr>
          <w:vertAlign w:val="subscript"/>
        </w:rPr>
        <w:t>2</w:t>
      </w:r>
      <w:r>
        <w:t xml:space="preserve"> per mass of carbon in the sample holder</w:t>
      </w:r>
      <w:r w:rsidRPr="00036AC2">
        <w:t>.</w:t>
      </w:r>
    </w:p>
    <w:tbl>
      <w:tblPr>
        <w:tblW w:w="4358" w:type="dxa"/>
        <w:jc w:val="center"/>
        <w:tblLayout w:type="fixed"/>
        <w:tblLook w:val="0000" w:firstRow="0" w:lastRow="0" w:firstColumn="0" w:lastColumn="0" w:noHBand="0" w:noVBand="0"/>
      </w:tblPr>
      <w:tblGrid>
        <w:gridCol w:w="1555"/>
        <w:gridCol w:w="881"/>
        <w:gridCol w:w="961"/>
        <w:gridCol w:w="961"/>
      </w:tblGrid>
      <w:tr w:rsidR="002F72DD" w:rsidRPr="00DE24EA" w14:paraId="729B96E9" w14:textId="6AD17D95" w:rsidTr="00CB4FB4">
        <w:trPr>
          <w:trHeight w:val="567"/>
          <w:jc w:val="center"/>
        </w:trPr>
        <w:tc>
          <w:tcPr>
            <w:tcW w:w="1555" w:type="dxa"/>
            <w:tcBorders>
              <w:top w:val="single" w:sz="4" w:space="0" w:color="000000"/>
              <w:left w:val="single" w:sz="4" w:space="0" w:color="000000"/>
              <w:bottom w:val="single" w:sz="4" w:space="0" w:color="000000"/>
            </w:tcBorders>
            <w:vAlign w:val="center"/>
          </w:tcPr>
          <w:p w14:paraId="76400B13" w14:textId="77777777" w:rsidR="002F72DD" w:rsidRPr="00036AC2" w:rsidRDefault="002F72DD" w:rsidP="002F72DD">
            <w:pPr>
              <w:pStyle w:val="TableHeadBold"/>
            </w:pPr>
            <w:r>
              <w:t>CDC adsorbent</w:t>
            </w:r>
          </w:p>
        </w:tc>
        <w:tc>
          <w:tcPr>
            <w:tcW w:w="881" w:type="dxa"/>
            <w:tcBorders>
              <w:top w:val="single" w:sz="4" w:space="0" w:color="000000"/>
              <w:left w:val="single" w:sz="4" w:space="0" w:color="000000"/>
              <w:bottom w:val="single" w:sz="4" w:space="0" w:color="000000"/>
              <w:right w:val="single" w:sz="4" w:space="0" w:color="000000"/>
            </w:tcBorders>
            <w:vAlign w:val="center"/>
          </w:tcPr>
          <w:p w14:paraId="11F5D6C2" w14:textId="5F289749" w:rsidR="002F72DD" w:rsidRPr="00036AC2" w:rsidRDefault="002F72DD" w:rsidP="002F72DD">
            <w:pPr>
              <w:pStyle w:val="TableHeadBold"/>
            </w:pPr>
            <w:r w:rsidRPr="001B64ED">
              <w:rPr>
                <w:i/>
                <w:iCs/>
              </w:rPr>
              <w:t>p</w:t>
            </w:r>
            <w:r w:rsidRPr="001B64ED">
              <w:rPr>
                <w:vertAlign w:val="subscript"/>
              </w:rPr>
              <w:t>H</w:t>
            </w:r>
            <w:r w:rsidRPr="00755D80">
              <w:rPr>
                <w:vertAlign w:val="subscript"/>
              </w:rPr>
              <w:t>2,load</w:t>
            </w:r>
            <w:r>
              <w:t xml:space="preserve"> bar</w:t>
            </w:r>
          </w:p>
        </w:tc>
        <w:tc>
          <w:tcPr>
            <w:tcW w:w="961" w:type="dxa"/>
            <w:tcBorders>
              <w:top w:val="single" w:sz="4" w:space="0" w:color="000000"/>
              <w:left w:val="single" w:sz="4" w:space="0" w:color="000000"/>
              <w:bottom w:val="single" w:sz="4" w:space="0" w:color="000000"/>
              <w:right w:val="single" w:sz="4" w:space="0" w:color="000000"/>
            </w:tcBorders>
            <w:vAlign w:val="center"/>
          </w:tcPr>
          <w:p w14:paraId="0E795507" w14:textId="77777777" w:rsidR="002F72DD" w:rsidRDefault="002F72DD" w:rsidP="002F72DD">
            <w:pPr>
              <w:pStyle w:val="TableHeadBold"/>
            </w:pPr>
            <w:r w:rsidRPr="001B64ED">
              <w:rPr>
                <w:i/>
                <w:iCs/>
              </w:rPr>
              <w:t>n</w:t>
            </w:r>
            <w:r w:rsidRPr="001B64ED">
              <w:rPr>
                <w:vertAlign w:val="subscript"/>
              </w:rPr>
              <w:t>H2</w:t>
            </w:r>
          </w:p>
          <w:p w14:paraId="1F3C97E3" w14:textId="5FBFAC55" w:rsidR="002F72DD" w:rsidRDefault="002F72DD" w:rsidP="002F72DD">
            <w:pPr>
              <w:pStyle w:val="TableHeadBold"/>
            </w:pPr>
            <w:r>
              <w:t>mmol g</w:t>
            </w:r>
            <w:r w:rsidRPr="00835E00">
              <w:rPr>
                <w:rFonts w:ascii="Times New Roman" w:hAnsi="Times New Roman"/>
                <w:vertAlign w:val="superscript"/>
              </w:rPr>
              <w:t>−1</w:t>
            </w:r>
          </w:p>
        </w:tc>
        <w:tc>
          <w:tcPr>
            <w:tcW w:w="961" w:type="dxa"/>
            <w:tcBorders>
              <w:top w:val="single" w:sz="4" w:space="0" w:color="000000"/>
              <w:left w:val="single" w:sz="4" w:space="0" w:color="000000"/>
              <w:bottom w:val="single" w:sz="4" w:space="0" w:color="000000"/>
              <w:right w:val="single" w:sz="4" w:space="0" w:color="000000"/>
            </w:tcBorders>
            <w:vAlign w:val="center"/>
          </w:tcPr>
          <w:p w14:paraId="01CBBFE2" w14:textId="6D760BCD" w:rsidR="002F72DD" w:rsidRPr="002F72DD" w:rsidRDefault="002F72DD" w:rsidP="002F72DD">
            <w:pPr>
              <w:pStyle w:val="TableHeadBold"/>
              <w:rPr>
                <w:i/>
                <w:iCs/>
                <w:lang w:val="en-US"/>
              </w:rPr>
            </w:pPr>
            <w:r w:rsidRPr="00F67721">
              <w:rPr>
                <w:i/>
                <w:iCs/>
                <w:color w:val="FF0000"/>
                <w:lang w:val="en-US"/>
              </w:rPr>
              <w:t>w</w:t>
            </w:r>
            <w:r w:rsidRPr="00F67721">
              <w:rPr>
                <w:color w:val="FF0000"/>
                <w:lang w:val="en-US"/>
              </w:rPr>
              <w:t>% of H</w:t>
            </w:r>
            <w:r w:rsidRPr="00F67721">
              <w:rPr>
                <w:color w:val="FF0000"/>
                <w:vertAlign w:val="subscript"/>
                <w:lang w:val="en-US"/>
              </w:rPr>
              <w:t>2</w:t>
            </w:r>
            <w:r w:rsidRPr="00F67721">
              <w:rPr>
                <w:color w:val="FF0000"/>
                <w:lang w:val="en-US"/>
              </w:rPr>
              <w:t xml:space="preserve"> in sample at 20 K</w:t>
            </w:r>
          </w:p>
        </w:tc>
      </w:tr>
      <w:tr w:rsidR="002F72DD" w:rsidRPr="00036AC2" w14:paraId="05A93CE7" w14:textId="008CF33C" w:rsidTr="00CB4FB4">
        <w:trPr>
          <w:trHeight w:val="567"/>
          <w:jc w:val="center"/>
        </w:trPr>
        <w:tc>
          <w:tcPr>
            <w:tcW w:w="1555" w:type="dxa"/>
            <w:tcBorders>
              <w:top w:val="single" w:sz="4" w:space="0" w:color="000000"/>
              <w:left w:val="single" w:sz="4" w:space="0" w:color="000000"/>
              <w:bottom w:val="single" w:sz="4" w:space="0" w:color="000000"/>
            </w:tcBorders>
            <w:vAlign w:val="center"/>
          </w:tcPr>
          <w:p w14:paraId="55F9525E" w14:textId="69F83DDD" w:rsidR="002F72DD" w:rsidRPr="00036AC2" w:rsidRDefault="002F72DD" w:rsidP="002F72DD">
            <w:pPr>
              <w:pStyle w:val="Tablecontent"/>
            </w:pPr>
            <w:r>
              <w:t>C-TiC</w:t>
            </w:r>
          </w:p>
        </w:tc>
        <w:tc>
          <w:tcPr>
            <w:tcW w:w="881" w:type="dxa"/>
            <w:tcBorders>
              <w:top w:val="single" w:sz="4" w:space="0" w:color="000000"/>
              <w:left w:val="single" w:sz="4" w:space="0" w:color="000000"/>
              <w:bottom w:val="single" w:sz="4" w:space="0" w:color="000000"/>
              <w:right w:val="single" w:sz="4" w:space="0" w:color="000000"/>
            </w:tcBorders>
            <w:vAlign w:val="center"/>
          </w:tcPr>
          <w:p w14:paraId="58D9C560" w14:textId="77777777" w:rsidR="002F72DD" w:rsidRPr="00036AC2" w:rsidRDefault="002F72DD" w:rsidP="002F72DD">
            <w:pPr>
              <w:pStyle w:val="Tablecontent"/>
            </w:pPr>
            <w:r>
              <w:t>0.011</w:t>
            </w:r>
          </w:p>
        </w:tc>
        <w:tc>
          <w:tcPr>
            <w:tcW w:w="961" w:type="dxa"/>
            <w:tcBorders>
              <w:top w:val="single" w:sz="4" w:space="0" w:color="000000"/>
              <w:left w:val="single" w:sz="4" w:space="0" w:color="000000"/>
              <w:bottom w:val="single" w:sz="4" w:space="0" w:color="000000"/>
              <w:right w:val="single" w:sz="4" w:space="0" w:color="000000"/>
            </w:tcBorders>
            <w:vAlign w:val="center"/>
          </w:tcPr>
          <w:p w14:paraId="3575DCED" w14:textId="77777777" w:rsidR="002F72DD" w:rsidRDefault="002F72DD" w:rsidP="002F72DD">
            <w:pPr>
              <w:pStyle w:val="Tablecontent"/>
            </w:pPr>
            <w:r>
              <w:t>2.0</w:t>
            </w:r>
          </w:p>
        </w:tc>
        <w:tc>
          <w:tcPr>
            <w:tcW w:w="961" w:type="dxa"/>
            <w:tcBorders>
              <w:top w:val="single" w:sz="4" w:space="0" w:color="000000"/>
              <w:left w:val="single" w:sz="4" w:space="0" w:color="000000"/>
              <w:bottom w:val="single" w:sz="4" w:space="0" w:color="000000"/>
              <w:right w:val="single" w:sz="4" w:space="0" w:color="000000"/>
            </w:tcBorders>
            <w:vAlign w:val="center"/>
          </w:tcPr>
          <w:p w14:paraId="3A5BE5C5" w14:textId="64AFABC2" w:rsidR="002F72DD" w:rsidRDefault="002F72DD" w:rsidP="002F72DD">
            <w:pPr>
              <w:pStyle w:val="Tablecontent"/>
            </w:pPr>
            <w:r w:rsidRPr="00F67721">
              <w:rPr>
                <w:color w:val="FF0000"/>
              </w:rPr>
              <w:t>0.4%</w:t>
            </w:r>
          </w:p>
        </w:tc>
      </w:tr>
      <w:tr w:rsidR="002F72DD" w:rsidRPr="00036AC2" w14:paraId="10F6D96F" w14:textId="728A7E0A" w:rsidTr="00375ECE">
        <w:trPr>
          <w:trHeight w:val="567"/>
          <w:jc w:val="center"/>
        </w:trPr>
        <w:tc>
          <w:tcPr>
            <w:tcW w:w="1555" w:type="dxa"/>
            <w:tcBorders>
              <w:top w:val="single" w:sz="4" w:space="0" w:color="000000"/>
              <w:left w:val="single" w:sz="4" w:space="0" w:color="000000"/>
              <w:bottom w:val="single" w:sz="4" w:space="0" w:color="000000"/>
            </w:tcBorders>
            <w:vAlign w:val="center"/>
          </w:tcPr>
          <w:p w14:paraId="4892245D" w14:textId="26252693" w:rsidR="002F72DD" w:rsidRPr="00036AC2" w:rsidRDefault="002F72DD" w:rsidP="002F72DD">
            <w:pPr>
              <w:pStyle w:val="Tablecontent"/>
            </w:pPr>
            <w:r>
              <w:t>C-SiC</w:t>
            </w:r>
          </w:p>
        </w:tc>
        <w:tc>
          <w:tcPr>
            <w:tcW w:w="881" w:type="dxa"/>
            <w:tcBorders>
              <w:top w:val="single" w:sz="4" w:space="0" w:color="000000"/>
              <w:left w:val="single" w:sz="4" w:space="0" w:color="000000"/>
              <w:bottom w:val="single" w:sz="4" w:space="0" w:color="000000"/>
              <w:right w:val="single" w:sz="4" w:space="0" w:color="000000"/>
            </w:tcBorders>
            <w:vAlign w:val="center"/>
          </w:tcPr>
          <w:p w14:paraId="2989D156" w14:textId="77777777" w:rsidR="002F72DD" w:rsidRPr="00036AC2" w:rsidRDefault="002F72DD" w:rsidP="002F72DD">
            <w:pPr>
              <w:pStyle w:val="Tablecontent"/>
            </w:pPr>
            <w:r>
              <w:t>0.011</w:t>
            </w:r>
          </w:p>
        </w:tc>
        <w:tc>
          <w:tcPr>
            <w:tcW w:w="961" w:type="dxa"/>
            <w:tcBorders>
              <w:top w:val="single" w:sz="4" w:space="0" w:color="000000"/>
              <w:left w:val="single" w:sz="4" w:space="0" w:color="000000"/>
              <w:bottom w:val="single" w:sz="4" w:space="0" w:color="000000"/>
              <w:right w:val="single" w:sz="4" w:space="0" w:color="000000"/>
            </w:tcBorders>
            <w:vAlign w:val="center"/>
          </w:tcPr>
          <w:p w14:paraId="2730AA02" w14:textId="77777777" w:rsidR="002F72DD" w:rsidRDefault="002F72DD" w:rsidP="002F72DD">
            <w:pPr>
              <w:pStyle w:val="Tablecontent"/>
            </w:pPr>
            <w:r>
              <w:t>2.4</w:t>
            </w:r>
          </w:p>
        </w:tc>
        <w:tc>
          <w:tcPr>
            <w:tcW w:w="961" w:type="dxa"/>
            <w:tcBorders>
              <w:top w:val="single" w:sz="4" w:space="0" w:color="000000"/>
              <w:left w:val="single" w:sz="4" w:space="0" w:color="000000"/>
              <w:bottom w:val="single" w:sz="4" w:space="0" w:color="000000"/>
              <w:right w:val="single" w:sz="4" w:space="0" w:color="000000"/>
            </w:tcBorders>
            <w:vAlign w:val="center"/>
          </w:tcPr>
          <w:p w14:paraId="46123DAB" w14:textId="61BB3F2F" w:rsidR="002F72DD" w:rsidRDefault="002F72DD" w:rsidP="002F72DD">
            <w:pPr>
              <w:pStyle w:val="Tablecontent"/>
            </w:pPr>
            <w:r w:rsidRPr="00F67721">
              <w:rPr>
                <w:color w:val="FF0000"/>
              </w:rPr>
              <w:t>0.48%</w:t>
            </w:r>
          </w:p>
        </w:tc>
      </w:tr>
      <w:tr w:rsidR="002F72DD" w:rsidRPr="00036AC2" w14:paraId="0930938B" w14:textId="44D4A2A9" w:rsidTr="00375ECE">
        <w:trPr>
          <w:trHeight w:val="567"/>
          <w:jc w:val="center"/>
        </w:trPr>
        <w:tc>
          <w:tcPr>
            <w:tcW w:w="1555" w:type="dxa"/>
            <w:tcBorders>
              <w:top w:val="single" w:sz="4" w:space="0" w:color="000000"/>
              <w:left w:val="single" w:sz="4" w:space="0" w:color="000000"/>
              <w:bottom w:val="single" w:sz="4" w:space="0" w:color="000000"/>
            </w:tcBorders>
            <w:vAlign w:val="center"/>
          </w:tcPr>
          <w:p w14:paraId="69002E78" w14:textId="387B206D" w:rsidR="002F72DD" w:rsidRPr="00036AC2" w:rsidRDefault="002F72DD" w:rsidP="002F72DD">
            <w:pPr>
              <w:pStyle w:val="Tablecontent"/>
            </w:pPr>
            <w:r>
              <w:t>C-Mo</w:t>
            </w:r>
            <w:r w:rsidRPr="00B15EA5">
              <w:rPr>
                <w:vertAlign w:val="subscript"/>
              </w:rPr>
              <w:t>2</w:t>
            </w:r>
            <w:r>
              <w:t>C</w:t>
            </w:r>
          </w:p>
        </w:tc>
        <w:tc>
          <w:tcPr>
            <w:tcW w:w="881" w:type="dxa"/>
            <w:tcBorders>
              <w:top w:val="single" w:sz="4" w:space="0" w:color="000000"/>
              <w:left w:val="single" w:sz="4" w:space="0" w:color="000000"/>
              <w:bottom w:val="single" w:sz="4" w:space="0" w:color="000000"/>
              <w:right w:val="single" w:sz="4" w:space="0" w:color="000000"/>
            </w:tcBorders>
            <w:vAlign w:val="center"/>
          </w:tcPr>
          <w:p w14:paraId="4703A5CF" w14:textId="77777777" w:rsidR="002F72DD" w:rsidRPr="00036AC2" w:rsidRDefault="002F72DD" w:rsidP="002F72DD">
            <w:pPr>
              <w:pStyle w:val="Tablecontent"/>
            </w:pPr>
            <w:r>
              <w:t>0.087</w:t>
            </w:r>
          </w:p>
        </w:tc>
        <w:tc>
          <w:tcPr>
            <w:tcW w:w="961" w:type="dxa"/>
            <w:tcBorders>
              <w:top w:val="single" w:sz="4" w:space="0" w:color="000000"/>
              <w:left w:val="single" w:sz="4" w:space="0" w:color="000000"/>
              <w:bottom w:val="single" w:sz="4" w:space="0" w:color="000000"/>
              <w:right w:val="single" w:sz="4" w:space="0" w:color="000000"/>
            </w:tcBorders>
            <w:vAlign w:val="center"/>
          </w:tcPr>
          <w:p w14:paraId="71FCC578" w14:textId="77777777" w:rsidR="002F72DD" w:rsidRDefault="002F72DD" w:rsidP="002F72DD">
            <w:pPr>
              <w:pStyle w:val="Tablecontent"/>
            </w:pPr>
            <w:r>
              <w:t>1.2</w:t>
            </w:r>
          </w:p>
        </w:tc>
        <w:tc>
          <w:tcPr>
            <w:tcW w:w="961" w:type="dxa"/>
            <w:tcBorders>
              <w:top w:val="single" w:sz="4" w:space="0" w:color="000000"/>
              <w:left w:val="single" w:sz="4" w:space="0" w:color="000000"/>
              <w:bottom w:val="single" w:sz="4" w:space="0" w:color="000000"/>
              <w:right w:val="single" w:sz="4" w:space="0" w:color="000000"/>
            </w:tcBorders>
            <w:vAlign w:val="center"/>
          </w:tcPr>
          <w:p w14:paraId="2C71098F" w14:textId="6773CF54" w:rsidR="002F72DD" w:rsidRDefault="002F72DD" w:rsidP="002F72DD">
            <w:pPr>
              <w:pStyle w:val="Tablecontent"/>
            </w:pPr>
            <w:r w:rsidRPr="00F67721">
              <w:rPr>
                <w:color w:val="FF0000"/>
              </w:rPr>
              <w:t>0.24%</w:t>
            </w:r>
          </w:p>
        </w:tc>
      </w:tr>
    </w:tbl>
    <w:p w14:paraId="4C67BED5" w14:textId="77777777" w:rsidR="00205ADD" w:rsidRDefault="00205ADD" w:rsidP="00C7146E">
      <w:pPr>
        <w:pStyle w:val="Paragraph"/>
      </w:pPr>
    </w:p>
    <w:p w14:paraId="69943B66" w14:textId="7163CD85" w:rsidR="00165517" w:rsidRDefault="00C7146E" w:rsidP="00165517">
      <w:pPr>
        <w:pStyle w:val="Paragraph"/>
      </w:pPr>
      <w:r w:rsidRPr="00DB4DA9">
        <w:t>Data reduction, which included normalization with vanadium, corrections for detector efficiency and subtraction of background, was performed with the DAVE 2.4</w:t>
      </w:r>
      <w:r w:rsidR="005A1AA6">
        <w:t xml:space="preserve"> software</w:t>
      </w:r>
      <w:r>
        <w:t>.</w:t>
      </w:r>
      <w:r w:rsidRPr="00DB4DA9">
        <w:t xml:space="preserve"> </w:t>
      </w:r>
      <w:r w:rsidR="00205ADD" w:rsidRPr="00205ADD">
        <w:rPr>
          <w:rFonts w:cs="Times"/>
        </w:rPr>
        <w:t>[15]</w:t>
      </w:r>
      <w:r w:rsidR="00043999">
        <w:t xml:space="preserve"> </w:t>
      </w:r>
      <w:r w:rsidR="00DB4DA9" w:rsidRPr="00043999">
        <w:t>Binning of the scattering data w</w:t>
      </w:r>
      <w:r w:rsidR="00DB5D7A">
        <w:t>ere</w:t>
      </w:r>
      <w:r w:rsidR="00DB4DA9" w:rsidRPr="00043999">
        <w:t xml:space="preserve"> </w:t>
      </w:r>
      <w:r w:rsidR="0045083C">
        <w:t>conducted</w:t>
      </w:r>
      <w:r w:rsidR="00DB4DA9" w:rsidRPr="00043999">
        <w:t xml:space="preserve"> in </w:t>
      </w:r>
      <w:r w:rsidR="00043999" w:rsidRPr="00043999">
        <w:t xml:space="preserve">the </w:t>
      </w:r>
      <w:r w:rsidR="0045083C">
        <w:t>whole</w:t>
      </w:r>
      <w:r w:rsidR="00043999" w:rsidRPr="00043999">
        <w:t xml:space="preserve"> energy transfer</w:t>
      </w:r>
      <w:r w:rsidR="00F15014" w:rsidRPr="00F15014">
        <w:t xml:space="preserve"> </w:t>
      </w:r>
      <w:r w:rsidR="00F15014" w:rsidRPr="00043999">
        <w:t>range</w:t>
      </w:r>
      <w:r w:rsidR="00043999" w:rsidRPr="00043999">
        <w:t xml:space="preserve">, </w:t>
      </w:r>
      <w:r w:rsidR="00F15014">
        <w:t>from</w:t>
      </w:r>
      <w:r w:rsidR="00F15014" w:rsidRPr="00043999">
        <w:t xml:space="preserve"> </w:t>
      </w:r>
      <w:r w:rsidR="00293881">
        <w:t>d</w:t>
      </w:r>
      <w:r w:rsidR="00293881" w:rsidRPr="00293881">
        <w:rPr>
          <w:i/>
          <w:iCs/>
        </w:rPr>
        <w:t>E</w:t>
      </w:r>
      <w:r w:rsidR="00293881">
        <w:t xml:space="preserve"> = </w:t>
      </w:r>
      <w:r w:rsidR="00043999" w:rsidRPr="00043999">
        <w:t>−37</w:t>
      </w:r>
      <w:r w:rsidR="00293881">
        <w:t> meV</w:t>
      </w:r>
      <w:r w:rsidR="00043999" w:rsidRPr="00043999">
        <w:t xml:space="preserve"> to 2 meV, </w:t>
      </w:r>
      <w:r w:rsidR="00F15014">
        <w:t xml:space="preserve">with </w:t>
      </w:r>
      <w:r w:rsidR="00043999" w:rsidRPr="00043999">
        <w:t xml:space="preserve">step size 0.047 meV; </w:t>
      </w:r>
      <w:r w:rsidR="00B31190" w:rsidRPr="00B31190">
        <w:rPr>
          <w:i/>
          <w:iCs/>
        </w:rPr>
        <w:t>Q</w:t>
      </w:r>
      <w:r w:rsidR="00B31190" w:rsidRPr="00B31190">
        <w:t xml:space="preserve"> was binned over </w:t>
      </w:r>
      <w:r w:rsidR="00B31190" w:rsidRPr="00D84E8C">
        <w:t xml:space="preserve">the </w:t>
      </w:r>
      <w:r w:rsidR="0045083C" w:rsidRPr="00D84E8C">
        <w:t>entire</w:t>
      </w:r>
      <w:r w:rsidR="00B31190" w:rsidRPr="00D84E8C">
        <w:t xml:space="preserve"> range as one slice</w:t>
      </w:r>
      <w:r w:rsidR="00B31190" w:rsidRPr="00165517">
        <w:rPr>
          <w:color w:val="FF0000"/>
        </w:rPr>
        <w:t>.</w:t>
      </w:r>
      <w:r w:rsidR="00D8121F" w:rsidRPr="00165517">
        <w:rPr>
          <w:color w:val="FF0000"/>
        </w:rPr>
        <w:t xml:space="preserve"> </w:t>
      </w:r>
      <w:bookmarkStart w:id="4" w:name="_Hlk139026433"/>
      <w:r w:rsidR="00165517" w:rsidRPr="00165517">
        <w:rPr>
          <w:color w:val="FF0000"/>
        </w:rPr>
        <w:t xml:space="preserve">Since </w:t>
      </w:r>
      <w:r w:rsidR="00165517" w:rsidRPr="00165517">
        <w:rPr>
          <w:i/>
          <w:iCs/>
          <w:color w:val="FF0000"/>
        </w:rPr>
        <w:t>Q</w:t>
      </w:r>
      <w:r w:rsidR="00165517" w:rsidRPr="00165517">
        <w:rPr>
          <w:color w:val="FF0000"/>
        </w:rPr>
        <w:t xml:space="preserve"> was summed over all detectors</w:t>
      </w:r>
      <w:r w:rsidR="00165517">
        <w:rPr>
          <w:color w:val="FF0000"/>
        </w:rPr>
        <w:t xml:space="preserve">, </w:t>
      </w:r>
      <w:r w:rsidR="00165517" w:rsidRPr="00165517">
        <w:rPr>
          <w:color w:val="FF0000"/>
        </w:rPr>
        <w:t>t</w:t>
      </w:r>
      <w:r w:rsidR="00577FD2" w:rsidRPr="00165517">
        <w:rPr>
          <w:color w:val="FF0000"/>
        </w:rPr>
        <w:t>he</w:t>
      </w:r>
      <w:r w:rsidR="00D84E8C" w:rsidRPr="00165517">
        <w:rPr>
          <w:color w:val="FF0000"/>
        </w:rPr>
        <w:t xml:space="preserve"> </w:t>
      </w:r>
      <w:r w:rsidR="00165517">
        <w:rPr>
          <w:color w:val="FF0000"/>
        </w:rPr>
        <w:t xml:space="preserve">reported </w:t>
      </w:r>
      <w:r w:rsidR="00D84E8C" w:rsidRPr="00165517">
        <w:rPr>
          <w:color w:val="FF0000"/>
        </w:rPr>
        <w:t>dynamic</w:t>
      </w:r>
      <w:r w:rsidR="00577FD2" w:rsidRPr="00165517">
        <w:rPr>
          <w:color w:val="FF0000"/>
        </w:rPr>
        <w:t xml:space="preserve"> </w:t>
      </w:r>
      <w:r w:rsidR="00382D8E" w:rsidRPr="00165517">
        <w:rPr>
          <w:color w:val="FF0000"/>
        </w:rPr>
        <w:t>incoherent structure factor</w:t>
      </w:r>
      <w:r w:rsidR="00165517" w:rsidRPr="00165517">
        <w:rPr>
          <w:color w:val="FF0000"/>
        </w:rPr>
        <w:t xml:space="preserve">s </w:t>
      </w:r>
      <w:r w:rsidR="00165517" w:rsidRPr="00165517">
        <w:rPr>
          <w:i/>
          <w:iCs/>
          <w:color w:val="FF0000"/>
        </w:rPr>
        <w:t>S</w:t>
      </w:r>
      <w:r w:rsidR="00165517" w:rsidRPr="00165517">
        <w:rPr>
          <w:color w:val="FF0000"/>
        </w:rPr>
        <w:t>(</w:t>
      </w:r>
      <w:proofErr w:type="gramStart"/>
      <w:r w:rsidR="00165517" w:rsidRPr="00165517">
        <w:rPr>
          <w:i/>
          <w:iCs/>
          <w:color w:val="FF0000"/>
        </w:rPr>
        <w:t>Q</w:t>
      </w:r>
      <w:r w:rsidR="00165517" w:rsidRPr="00165517">
        <w:rPr>
          <w:color w:val="FF0000"/>
        </w:rPr>
        <w:t>,</w:t>
      </w:r>
      <w:r w:rsidR="00165517" w:rsidRPr="00165517">
        <w:rPr>
          <w:i/>
          <w:iCs/>
          <w:color w:val="FF0000"/>
        </w:rPr>
        <w:t>E</w:t>
      </w:r>
      <w:proofErr w:type="gramEnd"/>
      <w:r w:rsidR="00165517" w:rsidRPr="00165517">
        <w:rPr>
          <w:color w:val="FF0000"/>
        </w:rPr>
        <w:t>)</w:t>
      </w:r>
      <w:r w:rsidR="00D7733A">
        <w:rPr>
          <w:color w:val="FF0000"/>
        </w:rPr>
        <w:t xml:space="preserve"> are</w:t>
      </w:r>
      <w:r w:rsidR="00165517" w:rsidRPr="00165517">
        <w:rPr>
          <w:color w:val="FF0000"/>
        </w:rPr>
        <w:t xml:space="preserve"> </w:t>
      </w:r>
      <w:r w:rsidR="00165517">
        <w:rPr>
          <w:color w:val="FF0000"/>
        </w:rPr>
        <w:t xml:space="preserve">noted </w:t>
      </w:r>
      <w:r w:rsidR="00165517" w:rsidRPr="00165517">
        <w:rPr>
          <w:color w:val="FF0000"/>
        </w:rPr>
        <w:t xml:space="preserve">as </w:t>
      </w:r>
      <w:bookmarkStart w:id="5" w:name="_Hlk139026550"/>
      <w:bookmarkEnd w:id="4"/>
      <w:r w:rsidR="00DE24EA">
        <w:rPr>
          <w:color w:val="FF0000"/>
        </w:rPr>
        <w:t>intensity</w:t>
      </w:r>
      <w:r w:rsidR="00165517" w:rsidRPr="00165517">
        <w:rPr>
          <w:color w:val="FF0000"/>
        </w:rPr>
        <w:t xml:space="preserve"> </w:t>
      </w:r>
      <w:r w:rsidR="00165517" w:rsidRPr="00D7733A">
        <w:rPr>
          <w:i/>
          <w:iCs/>
          <w:color w:val="FF0000"/>
        </w:rPr>
        <w:t>S</w:t>
      </w:r>
      <w:r w:rsidR="00165517" w:rsidRPr="00165517">
        <w:rPr>
          <w:color w:val="FF0000"/>
        </w:rPr>
        <w:t>(</w:t>
      </w:r>
      <w:r w:rsidR="00165517" w:rsidRPr="00D7733A">
        <w:rPr>
          <w:i/>
          <w:iCs/>
          <w:color w:val="FF0000"/>
        </w:rPr>
        <w:t>E</w:t>
      </w:r>
      <w:r w:rsidR="00165517" w:rsidRPr="00165517">
        <w:rPr>
          <w:color w:val="FF0000"/>
        </w:rPr>
        <w:t xml:space="preserve">), in the following text. </w:t>
      </w:r>
      <w:r w:rsidR="00382D8E" w:rsidRPr="00165517">
        <w:rPr>
          <w:color w:val="FF0000"/>
        </w:rPr>
        <w:t xml:space="preserve"> </w:t>
      </w:r>
    </w:p>
    <w:bookmarkEnd w:id="5"/>
    <w:p w14:paraId="76612D14" w14:textId="278636A6" w:rsidR="00DB4DA9" w:rsidRPr="00D84E8C" w:rsidRDefault="00165517" w:rsidP="00165517">
      <w:pPr>
        <w:pStyle w:val="Paragraph"/>
      </w:pPr>
      <w:r w:rsidRPr="009720FE">
        <w:rPr>
          <w:color w:val="FF0000"/>
        </w:rPr>
        <w:t xml:space="preserve">The </w:t>
      </w:r>
      <w:r w:rsidR="009720FE" w:rsidRPr="009720FE">
        <w:rPr>
          <w:color w:val="FF0000"/>
        </w:rPr>
        <w:t xml:space="preserve">intensity of signal </w:t>
      </w:r>
      <w:r w:rsidR="009720FE">
        <w:rPr>
          <w:color w:val="FF0000"/>
        </w:rPr>
        <w:t>from</w:t>
      </w:r>
      <w:r w:rsidR="00382D8E" w:rsidRPr="00D84E8C">
        <w:t xml:space="preserve"> hydrogen, </w:t>
      </w:r>
      <w:r w:rsidR="00382D8E" w:rsidRPr="00D84E8C">
        <w:rPr>
          <w:i/>
          <w:iCs/>
          <w:color w:val="FF0000"/>
        </w:rPr>
        <w:t>S</w:t>
      </w:r>
      <w:r w:rsidR="00382D8E" w:rsidRPr="00D84E8C">
        <w:rPr>
          <w:color w:val="FF0000"/>
          <w:vertAlign w:val="subscript"/>
        </w:rPr>
        <w:t>H2</w:t>
      </w:r>
      <w:r w:rsidR="00382D8E" w:rsidRPr="00D84E8C">
        <w:rPr>
          <w:color w:val="FF0000"/>
        </w:rPr>
        <w:t>(</w:t>
      </w:r>
      <w:r w:rsidR="00382D8E" w:rsidRPr="00D84E8C">
        <w:rPr>
          <w:i/>
          <w:iCs/>
          <w:color w:val="FF0000"/>
        </w:rPr>
        <w:t>E</w:t>
      </w:r>
      <w:r w:rsidR="00382D8E" w:rsidRPr="00D84E8C">
        <w:rPr>
          <w:color w:val="FF0000"/>
        </w:rPr>
        <w:t xml:space="preserve">), </w:t>
      </w:r>
      <w:r w:rsidR="00382D8E" w:rsidRPr="00D84E8C">
        <w:t xml:space="preserve">was obtained by subtracting the </w:t>
      </w:r>
      <w:r w:rsidR="009720FE">
        <w:rPr>
          <w:color w:val="FF0000"/>
        </w:rPr>
        <w:t>intensity of</w:t>
      </w:r>
      <w:r>
        <w:rPr>
          <w:color w:val="FF0000"/>
        </w:rPr>
        <w:t xml:space="preserve"> signal</w:t>
      </w:r>
      <w:r w:rsidR="00382D8E" w:rsidRPr="00D84E8C">
        <w:t xml:space="preserve"> of</w:t>
      </w:r>
      <w:r w:rsidR="00577FD2" w:rsidRPr="00D84E8C">
        <w:t xml:space="preserve"> degassed carbon, </w:t>
      </w:r>
      <w:r w:rsidR="00577FD2" w:rsidRPr="00D84E8C">
        <w:rPr>
          <w:i/>
          <w:iCs/>
          <w:color w:val="FF0000"/>
        </w:rPr>
        <w:t>S</w:t>
      </w:r>
      <w:r w:rsidR="00577FD2" w:rsidRPr="00D84E8C">
        <w:rPr>
          <w:color w:val="FF0000"/>
          <w:vertAlign w:val="subscript"/>
        </w:rPr>
        <w:t>C</w:t>
      </w:r>
      <w:r w:rsidR="00577FD2" w:rsidRPr="00D84E8C">
        <w:rPr>
          <w:color w:val="FF0000"/>
        </w:rPr>
        <w:t>(</w:t>
      </w:r>
      <w:r w:rsidR="00577FD2" w:rsidRPr="00D84E8C">
        <w:rPr>
          <w:i/>
          <w:iCs/>
          <w:color w:val="FF0000"/>
        </w:rPr>
        <w:t>E</w:t>
      </w:r>
      <w:r w:rsidR="00577FD2" w:rsidRPr="00D84E8C">
        <w:rPr>
          <w:color w:val="FF0000"/>
        </w:rPr>
        <w:t xml:space="preserve">), </w:t>
      </w:r>
      <w:r w:rsidR="00577FD2" w:rsidRPr="00D84E8C">
        <w:t xml:space="preserve">from the </w:t>
      </w:r>
      <w:r w:rsidR="00F15014" w:rsidRPr="00D84E8C">
        <w:t xml:space="preserve">total </w:t>
      </w:r>
      <w:r w:rsidR="009720FE">
        <w:t>intensity</w:t>
      </w:r>
      <w:r w:rsidR="00F15014" w:rsidRPr="00D84E8C">
        <w:t xml:space="preserve"> </w:t>
      </w:r>
      <w:r w:rsidR="00F15014" w:rsidRPr="00D84E8C">
        <w:rPr>
          <w:i/>
          <w:iCs/>
          <w:color w:val="FF0000"/>
        </w:rPr>
        <w:t>S</w:t>
      </w:r>
      <w:r w:rsidR="00F15014" w:rsidRPr="00D84E8C">
        <w:rPr>
          <w:color w:val="FF0000"/>
        </w:rPr>
        <w:t>(</w:t>
      </w:r>
      <w:r w:rsidR="00F15014" w:rsidRPr="00D84E8C">
        <w:rPr>
          <w:i/>
          <w:iCs/>
          <w:color w:val="FF0000"/>
        </w:rPr>
        <w:t>E</w:t>
      </w:r>
      <w:r w:rsidR="00F15014" w:rsidRPr="00D84E8C">
        <w:rPr>
          <w:color w:val="FF0000"/>
        </w:rPr>
        <w:t>)</w:t>
      </w:r>
      <w:r w:rsidR="00382D8E" w:rsidRPr="00D84E8C">
        <w:rPr>
          <w:color w:val="FF0000"/>
        </w:rPr>
        <w:t>.</w:t>
      </w:r>
    </w:p>
    <w:p w14:paraId="0A453A65" w14:textId="77777777" w:rsidR="00AA1B18" w:rsidRPr="00D84E8C" w:rsidRDefault="00AA1B18" w:rsidP="00043999">
      <w:pPr>
        <w:pStyle w:val="Paragraph"/>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835"/>
        <w:gridCol w:w="910"/>
      </w:tblGrid>
      <w:tr w:rsidR="004316AC" w:rsidRPr="00D84E8C" w14:paraId="3E736275" w14:textId="77777777" w:rsidTr="004316AC">
        <w:tc>
          <w:tcPr>
            <w:tcW w:w="704" w:type="dxa"/>
          </w:tcPr>
          <w:p w14:paraId="4575EA41" w14:textId="77777777" w:rsidR="004316AC" w:rsidRPr="00D84E8C" w:rsidRDefault="004316AC" w:rsidP="00043999">
            <w:pPr>
              <w:pStyle w:val="Paragraph"/>
              <w:ind w:firstLine="0"/>
            </w:pPr>
          </w:p>
        </w:tc>
        <w:tc>
          <w:tcPr>
            <w:tcW w:w="2835" w:type="dxa"/>
          </w:tcPr>
          <w:p w14:paraId="57A8A0A5" w14:textId="57AE16FF" w:rsidR="004316AC" w:rsidRPr="00D84E8C" w:rsidRDefault="004316AC" w:rsidP="00043999">
            <w:pPr>
              <w:pStyle w:val="Paragraph"/>
              <w:ind w:firstLine="0"/>
            </w:pPr>
            <w:r w:rsidRPr="00D84E8C">
              <w:rPr>
                <w:i/>
                <w:iCs/>
                <w:color w:val="FF0000"/>
                <w:lang w:val="es-PE"/>
              </w:rPr>
              <w:t>S</w:t>
            </w:r>
            <w:r w:rsidRPr="00D84E8C">
              <w:rPr>
                <w:color w:val="FF0000"/>
                <w:vertAlign w:val="subscript"/>
                <w:lang w:val="es-PE"/>
              </w:rPr>
              <w:t>H2</w:t>
            </w:r>
            <w:r w:rsidRPr="00D84E8C">
              <w:rPr>
                <w:color w:val="FF0000"/>
                <w:lang w:val="es-PE"/>
              </w:rPr>
              <w:t>(</w:t>
            </w:r>
            <w:r w:rsidRPr="00D84E8C">
              <w:rPr>
                <w:i/>
                <w:iCs/>
                <w:color w:val="FF0000"/>
                <w:lang w:val="es-PE"/>
              </w:rPr>
              <w:t>E</w:t>
            </w:r>
            <w:r w:rsidRPr="00D84E8C">
              <w:rPr>
                <w:color w:val="FF0000"/>
                <w:lang w:val="es-PE"/>
              </w:rPr>
              <w:t xml:space="preserve">) = </w:t>
            </w:r>
            <w:r w:rsidRPr="00D84E8C">
              <w:rPr>
                <w:i/>
                <w:iCs/>
                <w:color w:val="FF0000"/>
                <w:lang w:val="es-PE"/>
              </w:rPr>
              <w:t>S</w:t>
            </w:r>
            <w:r w:rsidRPr="00D84E8C">
              <w:rPr>
                <w:color w:val="FF0000"/>
                <w:lang w:val="es-PE"/>
              </w:rPr>
              <w:t>(</w:t>
            </w:r>
            <w:r w:rsidRPr="00D84E8C">
              <w:rPr>
                <w:i/>
                <w:iCs/>
                <w:color w:val="FF0000"/>
                <w:lang w:val="es-PE"/>
              </w:rPr>
              <w:t>E</w:t>
            </w:r>
            <w:r w:rsidRPr="00D84E8C">
              <w:rPr>
                <w:color w:val="FF0000"/>
                <w:lang w:val="es-PE"/>
              </w:rPr>
              <w:t xml:space="preserve">) </w:t>
            </w:r>
            <w:r w:rsidRPr="00D84E8C">
              <w:rPr>
                <w:rFonts w:ascii="Arial" w:hAnsi="Arial" w:cs="Arial"/>
                <w:color w:val="FF0000"/>
                <w:lang w:val="es-PE"/>
              </w:rPr>
              <w:t>−</w:t>
            </w:r>
            <w:r w:rsidRPr="00D84E8C">
              <w:rPr>
                <w:color w:val="FF0000"/>
                <w:lang w:val="es-PE"/>
              </w:rPr>
              <w:t xml:space="preserve"> </w:t>
            </w:r>
            <w:r w:rsidRPr="00D84E8C">
              <w:rPr>
                <w:i/>
                <w:iCs/>
                <w:color w:val="FF0000"/>
                <w:lang w:val="es-PE"/>
              </w:rPr>
              <w:t>S</w:t>
            </w:r>
            <w:r w:rsidRPr="00D84E8C">
              <w:rPr>
                <w:color w:val="FF0000"/>
                <w:vertAlign w:val="subscript"/>
                <w:lang w:val="es-PE"/>
              </w:rPr>
              <w:t>C</w:t>
            </w:r>
            <w:r w:rsidRPr="00D84E8C">
              <w:rPr>
                <w:color w:val="FF0000"/>
                <w:lang w:val="es-PE"/>
              </w:rPr>
              <w:t>(</w:t>
            </w:r>
            <w:r w:rsidRPr="00D84E8C">
              <w:rPr>
                <w:i/>
                <w:iCs/>
                <w:color w:val="FF0000"/>
                <w:lang w:val="es-PE"/>
              </w:rPr>
              <w:t>E</w:t>
            </w:r>
            <w:r w:rsidRPr="00D84E8C">
              <w:rPr>
                <w:color w:val="FF0000"/>
                <w:lang w:val="es-PE"/>
              </w:rPr>
              <w:t>)</w:t>
            </w:r>
          </w:p>
        </w:tc>
        <w:tc>
          <w:tcPr>
            <w:tcW w:w="910" w:type="dxa"/>
          </w:tcPr>
          <w:p w14:paraId="7B27BC65" w14:textId="49D8E499" w:rsidR="004316AC" w:rsidRPr="00D84E8C" w:rsidRDefault="004316AC" w:rsidP="004316AC">
            <w:pPr>
              <w:pStyle w:val="Paragraph"/>
              <w:ind w:firstLine="0"/>
              <w:jc w:val="right"/>
            </w:pPr>
            <w:r w:rsidRPr="00D84E8C">
              <w:rPr>
                <w:sz w:val="18"/>
                <w:szCs w:val="18"/>
              </w:rPr>
              <w:t>(1)</w:t>
            </w:r>
          </w:p>
        </w:tc>
      </w:tr>
    </w:tbl>
    <w:p w14:paraId="030C18C2" w14:textId="32947FE4" w:rsidR="00724FD6" w:rsidRPr="000947F8" w:rsidRDefault="0031787A" w:rsidP="004316AC">
      <w:pPr>
        <w:pStyle w:val="Paragraph"/>
        <w:tabs>
          <w:tab w:val="clear" w:pos="340"/>
          <w:tab w:val="left" w:pos="4111"/>
        </w:tabs>
        <w:ind w:firstLine="0"/>
      </w:pPr>
      <w:r w:rsidRPr="00D84E8C">
        <w:t xml:space="preserve">To investigate the </w:t>
      </w:r>
      <w:r w:rsidR="00526AC6" w:rsidRPr="00D84E8C">
        <w:t>diffusion</w:t>
      </w:r>
      <w:r w:rsidRPr="00D84E8C">
        <w:t xml:space="preserve"> of </w:t>
      </w:r>
      <w:r w:rsidR="00526AC6" w:rsidRPr="00D84E8C">
        <w:t>H</w:t>
      </w:r>
      <w:r w:rsidR="00526AC6" w:rsidRPr="00D84E8C">
        <w:rPr>
          <w:vertAlign w:val="subscript"/>
        </w:rPr>
        <w:t>2</w:t>
      </w:r>
      <w:r w:rsidR="00526AC6" w:rsidRPr="00D84E8C">
        <w:t xml:space="preserve"> in multiple timescales</w:t>
      </w:r>
      <w:r w:rsidRPr="00D84E8C">
        <w:t>,</w:t>
      </w:r>
      <w:r w:rsidR="0045083C" w:rsidRPr="00D84E8C">
        <w:t xml:space="preserve"> </w:t>
      </w:r>
      <w:proofErr w:type="gramStart"/>
      <w:r w:rsidR="0045083C" w:rsidRPr="00D84E8C">
        <w:t>i.e.</w:t>
      </w:r>
      <w:proofErr w:type="gramEnd"/>
      <w:r w:rsidR="0045083C" w:rsidRPr="00D84E8C">
        <w:t xml:space="preserve"> to detect w</w:t>
      </w:r>
      <w:r w:rsidR="009F6416" w:rsidRPr="00D84E8C">
        <w:t>h</w:t>
      </w:r>
      <w:r w:rsidR="0045083C" w:rsidRPr="00D84E8C">
        <w:t xml:space="preserve">ether multiple quasi-elastic broadening signals are </w:t>
      </w:r>
      <w:r w:rsidR="009F6416" w:rsidRPr="00D84E8C">
        <w:t xml:space="preserve">convoluted in </w:t>
      </w:r>
      <w:r w:rsidR="009F6416" w:rsidRPr="00D84E8C">
        <w:rPr>
          <w:i/>
          <w:iCs/>
          <w:color w:val="FF0000"/>
        </w:rPr>
        <w:t>S</w:t>
      </w:r>
      <w:r w:rsidR="009F6416" w:rsidRPr="00D84E8C">
        <w:rPr>
          <w:color w:val="FF0000"/>
          <w:vertAlign w:val="subscript"/>
        </w:rPr>
        <w:t>H2</w:t>
      </w:r>
      <w:r w:rsidR="009F6416" w:rsidRPr="00D84E8C">
        <w:rPr>
          <w:color w:val="FF0000"/>
        </w:rPr>
        <w:t>(</w:t>
      </w:r>
      <w:r w:rsidR="009F6416" w:rsidRPr="00D84E8C">
        <w:rPr>
          <w:i/>
          <w:iCs/>
          <w:color w:val="FF0000"/>
        </w:rPr>
        <w:t>E</w:t>
      </w:r>
      <w:r w:rsidR="009F6416" w:rsidRPr="00D84E8C">
        <w:rPr>
          <w:color w:val="FF0000"/>
        </w:rPr>
        <w:t xml:space="preserve">), </w:t>
      </w:r>
      <w:r w:rsidRPr="00D84E8C">
        <w:t>the quasi-elastic broadening</w:t>
      </w:r>
      <w:r w:rsidR="00AA1B18" w:rsidRPr="00D84E8C">
        <w:t xml:space="preserve"> </w:t>
      </w:r>
      <w:r w:rsidR="00800E46" w:rsidRPr="00D84E8C">
        <w:t xml:space="preserve">of </w:t>
      </w:r>
      <w:r w:rsidR="00800E46" w:rsidRPr="00D84E8C">
        <w:rPr>
          <w:i/>
          <w:iCs/>
          <w:color w:val="FF0000"/>
        </w:rPr>
        <w:t>S</w:t>
      </w:r>
      <w:r w:rsidR="00800E46" w:rsidRPr="00D84E8C">
        <w:rPr>
          <w:color w:val="FF0000"/>
          <w:vertAlign w:val="subscript"/>
        </w:rPr>
        <w:t>H2</w:t>
      </w:r>
      <w:r w:rsidR="00800E46" w:rsidRPr="00D84E8C">
        <w:rPr>
          <w:color w:val="FF0000"/>
        </w:rPr>
        <w:t>(</w:t>
      </w:r>
      <w:r w:rsidR="00800E46" w:rsidRPr="00D84E8C">
        <w:rPr>
          <w:i/>
          <w:iCs/>
          <w:color w:val="FF0000"/>
        </w:rPr>
        <w:t>E</w:t>
      </w:r>
      <w:r w:rsidR="00800E46" w:rsidRPr="00D84E8C">
        <w:rPr>
          <w:color w:val="FF0000"/>
        </w:rPr>
        <w:t xml:space="preserve">) </w:t>
      </w:r>
      <w:r w:rsidR="000947F8" w:rsidRPr="00D84E8C">
        <w:t>was</w:t>
      </w:r>
      <w:r w:rsidRPr="00D84E8C">
        <w:t xml:space="preserve"> analysed</w:t>
      </w:r>
      <w:r w:rsidR="00ED47CD" w:rsidRPr="00D84E8C">
        <w:t xml:space="preserve">. </w:t>
      </w:r>
      <w:r w:rsidRPr="00D84E8C">
        <w:t xml:space="preserve">The </w:t>
      </w:r>
      <w:r w:rsidRPr="00D84E8C">
        <w:rPr>
          <w:i/>
          <w:iCs/>
          <w:color w:val="FF0000"/>
        </w:rPr>
        <w:t>S</w:t>
      </w:r>
      <w:r w:rsidRPr="00D84E8C">
        <w:rPr>
          <w:color w:val="FF0000"/>
          <w:vertAlign w:val="subscript"/>
        </w:rPr>
        <w:t>H2</w:t>
      </w:r>
      <w:r w:rsidRPr="00D84E8C">
        <w:rPr>
          <w:color w:val="FF0000"/>
        </w:rPr>
        <w:t>(</w:t>
      </w:r>
      <w:r w:rsidRPr="00D84E8C">
        <w:rPr>
          <w:i/>
          <w:iCs/>
          <w:color w:val="FF0000"/>
        </w:rPr>
        <w:t>E</w:t>
      </w:r>
      <w:r w:rsidRPr="00D84E8C">
        <w:rPr>
          <w:color w:val="FF0000"/>
        </w:rPr>
        <w:t xml:space="preserve">) </w:t>
      </w:r>
      <w:r w:rsidR="000947F8">
        <w:t>was</w:t>
      </w:r>
      <w:r w:rsidR="00ED47CD" w:rsidRPr="000947F8">
        <w:t xml:space="preserve"> symmetrised based on the </w:t>
      </w:r>
      <w:r w:rsidR="002F72DD" w:rsidRPr="00F67721">
        <w:rPr>
          <w:color w:val="FF0000"/>
        </w:rPr>
        <w:t xml:space="preserve">neutron </w:t>
      </w:r>
      <w:r w:rsidR="00ED47CD" w:rsidRPr="000947F8">
        <w:t>energy gain side and fitted in the energy range from</w:t>
      </w:r>
      <w:r w:rsidR="00293881">
        <w:t xml:space="preserve"> </w:t>
      </w:r>
      <w:r w:rsidR="00293881" w:rsidRPr="00293881">
        <w:rPr>
          <w:i/>
          <w:iCs/>
        </w:rPr>
        <w:t>E</w:t>
      </w:r>
      <w:r w:rsidR="00293881">
        <w:t xml:space="preserve"> =</w:t>
      </w:r>
      <w:r w:rsidR="00ED47CD" w:rsidRPr="000947F8">
        <w:t xml:space="preserve"> </w:t>
      </w:r>
      <w:r w:rsidR="00ED47CD" w:rsidRPr="000947F8">
        <w:rPr>
          <w:rFonts w:ascii="Symbol" w:hAnsi="Symbol"/>
        </w:rPr>
        <w:t>-</w:t>
      </w:r>
      <w:r w:rsidR="00ED47CD" w:rsidRPr="000947F8">
        <w:t>30</w:t>
      </w:r>
      <w:r w:rsidR="00800E46" w:rsidRPr="000947F8">
        <w:t> </w:t>
      </w:r>
      <w:r w:rsidR="00ED47CD" w:rsidRPr="000947F8">
        <w:t>meV to 30</w:t>
      </w:r>
      <w:r w:rsidR="00800E46" w:rsidRPr="000947F8">
        <w:t> </w:t>
      </w:r>
      <w:r w:rsidR="00ED47CD" w:rsidRPr="000947F8">
        <w:t>meV with eq</w:t>
      </w:r>
      <w:r w:rsidR="00526AC6" w:rsidRPr="000947F8">
        <w:t>uation</w:t>
      </w:r>
      <w:r w:rsidR="00ED47CD" w:rsidRPr="000947F8">
        <w:t xml:space="preserve"> 2.</w:t>
      </w:r>
    </w:p>
    <w:p w14:paraId="0626A20F" w14:textId="77777777" w:rsidR="00AA1B18" w:rsidRPr="000947F8" w:rsidRDefault="00AA1B18" w:rsidP="004316AC">
      <w:pPr>
        <w:pStyle w:val="Paragraph"/>
        <w:tabs>
          <w:tab w:val="clear" w:pos="340"/>
          <w:tab w:val="left" w:pos="4111"/>
        </w:tabs>
        <w:ind w:firstLine="0"/>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
        <w:gridCol w:w="3757"/>
        <w:gridCol w:w="426"/>
      </w:tblGrid>
      <w:tr w:rsidR="000947F8" w:rsidRPr="000947F8" w14:paraId="247169A3" w14:textId="77777777" w:rsidTr="00D84E8C">
        <w:tc>
          <w:tcPr>
            <w:tcW w:w="279" w:type="dxa"/>
          </w:tcPr>
          <w:p w14:paraId="50EC91C6" w14:textId="77777777" w:rsidR="004316AC" w:rsidRPr="000947F8" w:rsidRDefault="004316AC" w:rsidP="00205ADD">
            <w:pPr>
              <w:pStyle w:val="Paragraph"/>
              <w:tabs>
                <w:tab w:val="clear" w:pos="340"/>
                <w:tab w:val="left" w:pos="4111"/>
              </w:tabs>
              <w:ind w:firstLine="0"/>
              <w:jc w:val="left"/>
            </w:pPr>
          </w:p>
        </w:tc>
        <w:tc>
          <w:tcPr>
            <w:tcW w:w="3924" w:type="dxa"/>
            <w:shd w:val="clear" w:color="auto" w:fill="auto"/>
          </w:tcPr>
          <w:p w14:paraId="1EA13FBC" w14:textId="38B99770" w:rsidR="004316AC" w:rsidRPr="00DE24EA" w:rsidRDefault="004316AC" w:rsidP="00807943">
            <w:pPr>
              <w:pStyle w:val="Paragraph"/>
              <w:tabs>
                <w:tab w:val="clear" w:pos="340"/>
                <w:tab w:val="left" w:pos="4111"/>
              </w:tabs>
              <w:ind w:firstLine="0"/>
              <w:jc w:val="center"/>
              <w:rPr>
                <w:rFonts w:cs="Times"/>
                <w:highlight w:val="yellow"/>
                <w:lang w:val="es-PE"/>
              </w:rPr>
            </w:pPr>
            <w:r w:rsidRPr="00DE24EA">
              <w:rPr>
                <w:i/>
                <w:iCs/>
                <w:color w:val="FF0000"/>
                <w:lang w:val="es-PE"/>
              </w:rPr>
              <w:t>S</w:t>
            </w:r>
            <w:r w:rsidRPr="00DE24EA">
              <w:rPr>
                <w:color w:val="FF0000"/>
                <w:vertAlign w:val="subscript"/>
                <w:lang w:val="es-PE"/>
              </w:rPr>
              <w:t>model</w:t>
            </w:r>
            <w:r w:rsidRPr="00DE24EA">
              <w:rPr>
                <w:color w:val="FF0000"/>
                <w:lang w:val="es-PE"/>
              </w:rPr>
              <w:t>(</w:t>
            </w:r>
            <w:r w:rsidRPr="00DE24EA">
              <w:rPr>
                <w:i/>
                <w:iCs/>
                <w:color w:val="FF0000"/>
                <w:lang w:val="es-PE"/>
              </w:rPr>
              <w:t>E</w:t>
            </w:r>
            <w:r w:rsidRPr="00DE24EA">
              <w:rPr>
                <w:color w:val="FF0000"/>
                <w:lang w:val="es-PE"/>
              </w:rPr>
              <w:t xml:space="preserve">) = </w:t>
            </w:r>
            <w:r w:rsidRPr="00DE24EA">
              <w:rPr>
                <w:i/>
                <w:iCs/>
                <w:color w:val="FF0000"/>
                <w:lang w:val="es-PE"/>
              </w:rPr>
              <w:t>A</w:t>
            </w:r>
            <w:r w:rsidRPr="00DE24EA">
              <w:rPr>
                <w:color w:val="FF0000"/>
                <w:vertAlign w:val="subscript"/>
                <w:lang w:val="es-PE"/>
              </w:rPr>
              <w:t>0</w:t>
            </w:r>
            <w:r w:rsidR="00807943" w:rsidRPr="00DE24EA">
              <w:rPr>
                <w:color w:val="FF0000"/>
                <w:lang w:val="es-PE"/>
              </w:rPr>
              <w:t xml:space="preserve"> </w:t>
            </w:r>
            <w:r w:rsidRPr="00D84E8C">
              <w:rPr>
                <w:i/>
                <w:iCs/>
                <w:color w:val="FF0000"/>
              </w:rPr>
              <w:t>δ</w:t>
            </w:r>
            <w:r w:rsidRPr="00DE24EA">
              <w:rPr>
                <w:color w:val="FF0000"/>
                <w:lang w:val="es-PE"/>
              </w:rPr>
              <w:t>(</w:t>
            </w:r>
            <w:r w:rsidRPr="00DE24EA">
              <w:rPr>
                <w:i/>
                <w:iCs/>
                <w:color w:val="FF0000"/>
                <w:lang w:val="es-PE"/>
              </w:rPr>
              <w:t>E</w:t>
            </w:r>
            <w:r w:rsidRPr="00DE24EA">
              <w:rPr>
                <w:color w:val="FF0000"/>
                <w:lang w:val="es-PE"/>
              </w:rPr>
              <w:t>) +</w:t>
            </w:r>
            <w:r w:rsidR="00807943" w:rsidRPr="00DE24EA">
              <w:rPr>
                <w:color w:val="FF0000"/>
                <w:lang w:val="es-PE"/>
              </w:rPr>
              <w:t xml:space="preserve"> </w:t>
            </w:r>
            <w:r w:rsidRPr="00DE24EA">
              <w:rPr>
                <w:i/>
                <w:iCs/>
                <w:color w:val="FF0000"/>
                <w:lang w:val="es-PE"/>
              </w:rPr>
              <w:t>A</w:t>
            </w:r>
            <w:r w:rsidRPr="00DE24EA">
              <w:rPr>
                <w:color w:val="FF0000"/>
                <w:vertAlign w:val="subscript"/>
                <w:lang w:val="es-PE"/>
              </w:rPr>
              <w:t>1</w:t>
            </w:r>
            <w:r w:rsidR="00807943" w:rsidRPr="00DE24EA">
              <w:rPr>
                <w:color w:val="FF0000"/>
                <w:lang w:val="es-PE"/>
              </w:rPr>
              <w:t xml:space="preserve"> </w:t>
            </w:r>
            <w:r w:rsidRPr="00DE24EA">
              <w:rPr>
                <w:i/>
                <w:iCs/>
                <w:color w:val="FF0000"/>
                <w:lang w:val="es-PE"/>
              </w:rPr>
              <w:t>L</w:t>
            </w:r>
            <w:r w:rsidRPr="00DE24EA">
              <w:rPr>
                <w:color w:val="FF0000"/>
                <w:lang w:val="es-PE"/>
              </w:rPr>
              <w:t>(</w:t>
            </w:r>
            <w:r w:rsidRPr="00DE24EA">
              <w:rPr>
                <w:i/>
                <w:iCs/>
                <w:color w:val="FF0000"/>
                <w:lang w:val="es-PE"/>
              </w:rPr>
              <w:t>E</w:t>
            </w:r>
            <w:r w:rsidRPr="00DE24EA">
              <w:rPr>
                <w:color w:val="FF0000"/>
                <w:lang w:val="es-PE"/>
              </w:rPr>
              <w:t>,</w:t>
            </w:r>
            <w:r w:rsidRPr="00D84E8C">
              <w:rPr>
                <w:rFonts w:cs="Times"/>
                <w:i/>
                <w:iCs/>
                <w:color w:val="FF0000"/>
              </w:rPr>
              <w:t>Γ</w:t>
            </w:r>
            <w:r w:rsidRPr="00DE24EA">
              <w:rPr>
                <w:rFonts w:cs="Times"/>
                <w:color w:val="FF0000"/>
                <w:vertAlign w:val="subscript"/>
                <w:lang w:val="es-PE"/>
              </w:rPr>
              <w:t>1</w:t>
            </w:r>
            <w:r w:rsidRPr="00DE24EA">
              <w:rPr>
                <w:rFonts w:cs="Times"/>
                <w:color w:val="FF0000"/>
                <w:lang w:val="es-PE"/>
              </w:rPr>
              <w:t>)</w:t>
            </w:r>
            <w:r w:rsidR="00807943" w:rsidRPr="00DE24EA">
              <w:rPr>
                <w:rFonts w:cs="Times"/>
                <w:color w:val="FF0000"/>
                <w:lang w:val="es-PE"/>
              </w:rPr>
              <w:t xml:space="preserve"> </w:t>
            </w:r>
            <w:r w:rsidRPr="00DE24EA">
              <w:rPr>
                <w:rFonts w:cs="Times"/>
                <w:color w:val="FF0000"/>
                <w:lang w:val="es-PE"/>
              </w:rPr>
              <w:t>+</w:t>
            </w:r>
            <w:r w:rsidR="00807943" w:rsidRPr="00DE24EA">
              <w:rPr>
                <w:rFonts w:cs="Times"/>
                <w:color w:val="FF0000"/>
                <w:lang w:val="es-PE"/>
              </w:rPr>
              <w:t xml:space="preserve"> </w:t>
            </w:r>
            <w:r w:rsidRPr="00DE24EA">
              <w:rPr>
                <w:rFonts w:cs="Times"/>
                <w:i/>
                <w:iCs/>
                <w:color w:val="FF0000"/>
                <w:lang w:val="es-PE"/>
              </w:rPr>
              <w:t>A</w:t>
            </w:r>
            <w:r w:rsidRPr="00DE24EA">
              <w:rPr>
                <w:rFonts w:cs="Times"/>
                <w:color w:val="FF0000"/>
                <w:vertAlign w:val="subscript"/>
                <w:lang w:val="es-PE"/>
              </w:rPr>
              <w:t>2</w:t>
            </w:r>
            <w:r w:rsidR="00807943" w:rsidRPr="00DE24EA">
              <w:rPr>
                <w:color w:val="FF0000"/>
                <w:lang w:val="es-PE"/>
              </w:rPr>
              <w:t xml:space="preserve"> </w:t>
            </w:r>
            <w:r w:rsidRPr="00DE24EA">
              <w:rPr>
                <w:i/>
                <w:iCs/>
                <w:color w:val="FF0000"/>
                <w:lang w:val="es-PE"/>
              </w:rPr>
              <w:t>L</w:t>
            </w:r>
            <w:r w:rsidRPr="00DE24EA">
              <w:rPr>
                <w:color w:val="FF0000"/>
                <w:lang w:val="es-PE"/>
              </w:rPr>
              <w:t>(</w:t>
            </w:r>
            <w:r w:rsidRPr="00DE24EA">
              <w:rPr>
                <w:i/>
                <w:iCs/>
                <w:color w:val="FF0000"/>
                <w:lang w:val="es-PE"/>
              </w:rPr>
              <w:t>E</w:t>
            </w:r>
            <w:r w:rsidRPr="00DE24EA">
              <w:rPr>
                <w:color w:val="FF0000"/>
                <w:lang w:val="es-PE"/>
              </w:rPr>
              <w:t>,</w:t>
            </w:r>
            <w:r w:rsidRPr="00DE24EA">
              <w:rPr>
                <w:rFonts w:cs="Times"/>
                <w:color w:val="FF0000"/>
                <w:lang w:val="es-PE"/>
              </w:rPr>
              <w:t xml:space="preserve"> </w:t>
            </w:r>
            <w:r w:rsidRPr="00D84E8C">
              <w:rPr>
                <w:rFonts w:cs="Times"/>
                <w:i/>
                <w:iCs/>
                <w:color w:val="FF0000"/>
              </w:rPr>
              <w:t>Γ</w:t>
            </w:r>
            <w:r w:rsidRPr="00DE24EA">
              <w:rPr>
                <w:rFonts w:cs="Times"/>
                <w:color w:val="FF0000"/>
                <w:vertAlign w:val="subscript"/>
                <w:lang w:val="es-PE"/>
              </w:rPr>
              <w:t>2</w:t>
            </w:r>
            <w:r w:rsidRPr="00DE24EA">
              <w:rPr>
                <w:rFonts w:cs="Times"/>
                <w:color w:val="FF0000"/>
                <w:lang w:val="es-PE"/>
              </w:rPr>
              <w:t>)</w:t>
            </w:r>
            <w:r w:rsidR="00807943" w:rsidRPr="00DE24EA">
              <w:rPr>
                <w:color w:val="FF0000"/>
                <w:lang w:val="es-PE"/>
              </w:rPr>
              <w:t xml:space="preserve"> </w:t>
            </w:r>
            <w:r w:rsidRPr="00DE24EA">
              <w:rPr>
                <w:color w:val="FF0000"/>
                <w:lang w:val="es-PE"/>
              </w:rPr>
              <w:t>+</w:t>
            </w:r>
            <w:r w:rsidR="00807943" w:rsidRPr="00DE24EA">
              <w:rPr>
                <w:color w:val="FF0000"/>
                <w:lang w:val="es-PE"/>
              </w:rPr>
              <w:t xml:space="preserve"> </w:t>
            </w:r>
            <w:r w:rsidR="00FC0264" w:rsidRPr="00DE24EA">
              <w:rPr>
                <w:i/>
                <w:iCs/>
                <w:color w:val="FF0000"/>
                <w:lang w:val="es-PE"/>
              </w:rPr>
              <w:t>y</w:t>
            </w:r>
            <w:r w:rsidR="00FC0264" w:rsidRPr="00DE24EA">
              <w:rPr>
                <w:color w:val="FF0000"/>
                <w:vertAlign w:val="subscript"/>
                <w:lang w:val="es-PE"/>
              </w:rPr>
              <w:t>0</w:t>
            </w:r>
          </w:p>
        </w:tc>
        <w:tc>
          <w:tcPr>
            <w:tcW w:w="246" w:type="dxa"/>
            <w:vAlign w:val="center"/>
          </w:tcPr>
          <w:p w14:paraId="2B16CADE" w14:textId="0DE1D833" w:rsidR="004316AC" w:rsidRPr="000947F8" w:rsidRDefault="004316AC" w:rsidP="004316AC">
            <w:pPr>
              <w:pStyle w:val="Paragraph"/>
              <w:tabs>
                <w:tab w:val="clear" w:pos="340"/>
                <w:tab w:val="left" w:pos="4111"/>
              </w:tabs>
              <w:ind w:firstLine="0"/>
              <w:jc w:val="right"/>
            </w:pPr>
            <w:r w:rsidRPr="000947F8">
              <w:rPr>
                <w:sz w:val="18"/>
                <w:szCs w:val="18"/>
              </w:rPr>
              <w:t>(2)</w:t>
            </w:r>
          </w:p>
        </w:tc>
      </w:tr>
      <w:tr w:rsidR="000947F8" w:rsidRPr="000947F8" w14:paraId="7D95F2EB" w14:textId="77777777" w:rsidTr="004316AC">
        <w:tc>
          <w:tcPr>
            <w:tcW w:w="279" w:type="dxa"/>
          </w:tcPr>
          <w:p w14:paraId="7F377947" w14:textId="77777777" w:rsidR="00AA1B18" w:rsidRPr="000947F8" w:rsidRDefault="00AA1B18" w:rsidP="00205ADD">
            <w:pPr>
              <w:pStyle w:val="Paragraph"/>
              <w:tabs>
                <w:tab w:val="clear" w:pos="340"/>
                <w:tab w:val="left" w:pos="4111"/>
              </w:tabs>
              <w:ind w:firstLine="0"/>
              <w:jc w:val="left"/>
            </w:pPr>
          </w:p>
        </w:tc>
        <w:tc>
          <w:tcPr>
            <w:tcW w:w="3924" w:type="dxa"/>
          </w:tcPr>
          <w:p w14:paraId="0E348944" w14:textId="77777777" w:rsidR="00AA1B18" w:rsidRPr="000947F8" w:rsidRDefault="00AA1B18" w:rsidP="004316AC">
            <w:pPr>
              <w:pStyle w:val="Paragraph"/>
              <w:tabs>
                <w:tab w:val="clear" w:pos="340"/>
                <w:tab w:val="left" w:pos="4111"/>
              </w:tabs>
              <w:ind w:firstLine="0"/>
              <w:jc w:val="center"/>
              <w:rPr>
                <w:i/>
                <w:iCs/>
                <w:sz w:val="18"/>
                <w:szCs w:val="18"/>
              </w:rPr>
            </w:pPr>
          </w:p>
        </w:tc>
        <w:tc>
          <w:tcPr>
            <w:tcW w:w="246" w:type="dxa"/>
            <w:vAlign w:val="center"/>
          </w:tcPr>
          <w:p w14:paraId="10829B8C" w14:textId="77777777" w:rsidR="00AA1B18" w:rsidRPr="000947F8" w:rsidRDefault="00AA1B18" w:rsidP="004316AC">
            <w:pPr>
              <w:pStyle w:val="Paragraph"/>
              <w:tabs>
                <w:tab w:val="clear" w:pos="340"/>
                <w:tab w:val="left" w:pos="4111"/>
              </w:tabs>
              <w:ind w:firstLine="0"/>
              <w:jc w:val="right"/>
              <w:rPr>
                <w:sz w:val="18"/>
                <w:szCs w:val="18"/>
              </w:rPr>
            </w:pPr>
          </w:p>
        </w:tc>
      </w:tr>
    </w:tbl>
    <w:p w14:paraId="78836EB8" w14:textId="3FF20D06" w:rsidR="00036AC2" w:rsidRPr="00C27C2E" w:rsidRDefault="00ED47CD" w:rsidP="00800E46">
      <w:pPr>
        <w:pStyle w:val="Paragraph"/>
        <w:tabs>
          <w:tab w:val="clear" w:pos="340"/>
          <w:tab w:val="left" w:pos="4111"/>
        </w:tabs>
        <w:ind w:firstLine="0"/>
      </w:pPr>
      <w:r w:rsidRPr="000947F8">
        <w:t xml:space="preserve">where </w:t>
      </w:r>
      <w:r w:rsidRPr="00D84E8C">
        <w:rPr>
          <w:i/>
          <w:iCs/>
          <w:color w:val="FF0000"/>
        </w:rPr>
        <w:t>S</w:t>
      </w:r>
      <w:r w:rsidR="004316AC" w:rsidRPr="00D84E8C">
        <w:rPr>
          <w:color w:val="FF0000"/>
          <w:vertAlign w:val="subscript"/>
        </w:rPr>
        <w:t>model</w:t>
      </w:r>
      <w:r w:rsidRPr="00D84E8C">
        <w:rPr>
          <w:color w:val="FF0000"/>
        </w:rPr>
        <w:t>(</w:t>
      </w:r>
      <w:r w:rsidRPr="00D84E8C">
        <w:rPr>
          <w:i/>
          <w:iCs/>
          <w:color w:val="FF0000"/>
        </w:rPr>
        <w:t>E</w:t>
      </w:r>
      <w:r w:rsidRPr="00D84E8C">
        <w:rPr>
          <w:color w:val="FF0000"/>
        </w:rPr>
        <w:t xml:space="preserve">) </w:t>
      </w:r>
      <w:r w:rsidRPr="000947F8">
        <w:t xml:space="preserve">is the </w:t>
      </w:r>
      <w:r w:rsidR="00526AC6" w:rsidRPr="000947F8">
        <w:t xml:space="preserve">model </w:t>
      </w:r>
      <w:r w:rsidR="00165517">
        <w:t>scattering signal</w:t>
      </w:r>
      <w:r w:rsidRPr="000947F8">
        <w:t xml:space="preserve">, </w:t>
      </w:r>
      <w:r w:rsidRPr="000947F8">
        <w:rPr>
          <w:i/>
          <w:iCs/>
        </w:rPr>
        <w:t>δ</w:t>
      </w:r>
      <w:r w:rsidRPr="000947F8">
        <w:t>(</w:t>
      </w:r>
      <w:r w:rsidRPr="000947F8">
        <w:rPr>
          <w:i/>
          <w:iCs/>
        </w:rPr>
        <w:t>E</w:t>
      </w:r>
      <w:r w:rsidRPr="000947F8">
        <w:t xml:space="preserve">) is the Dirac delta function describing the elastic scattering, </w:t>
      </w:r>
      <w:r w:rsidRPr="000947F8">
        <w:rPr>
          <w:i/>
          <w:iCs/>
        </w:rPr>
        <w:t>A</w:t>
      </w:r>
      <w:r w:rsidRPr="000947F8">
        <w:rPr>
          <w:vertAlign w:val="subscript"/>
        </w:rPr>
        <w:t>0</w:t>
      </w:r>
      <w:r w:rsidRPr="000947F8">
        <w:t xml:space="preserve"> </w:t>
      </w:r>
      <w:r w:rsidR="00AA1B18" w:rsidRPr="000947F8">
        <w:t xml:space="preserve">is the fraction of elastic </w:t>
      </w:r>
      <w:r w:rsidRPr="000947F8">
        <w:t xml:space="preserve">and </w:t>
      </w:r>
      <w:r w:rsidRPr="000947F8">
        <w:rPr>
          <w:i/>
          <w:iCs/>
        </w:rPr>
        <w:t>A</w:t>
      </w:r>
      <w:r w:rsidRPr="000947F8">
        <w:rPr>
          <w:vertAlign w:val="subscript"/>
        </w:rPr>
        <w:t>1</w:t>
      </w:r>
      <w:r w:rsidRPr="000947F8">
        <w:t xml:space="preserve"> </w:t>
      </w:r>
      <w:r w:rsidR="00AA1B18" w:rsidRPr="000947F8">
        <w:t xml:space="preserve">and </w:t>
      </w:r>
      <w:r w:rsidR="00AA1B18" w:rsidRPr="000947F8">
        <w:rPr>
          <w:i/>
          <w:iCs/>
        </w:rPr>
        <w:t>A</w:t>
      </w:r>
      <w:r w:rsidR="00AA1B18" w:rsidRPr="000947F8">
        <w:rPr>
          <w:vertAlign w:val="subscript"/>
        </w:rPr>
        <w:t>2</w:t>
      </w:r>
      <w:r w:rsidR="00AA1B18" w:rsidRPr="000947F8">
        <w:t xml:space="preserve"> </w:t>
      </w:r>
      <w:r w:rsidRPr="000947F8">
        <w:t xml:space="preserve">are the fractions of quasi-elastic scattering signals, </w:t>
      </w:r>
      <w:r w:rsidRPr="000947F8">
        <w:rPr>
          <w:i/>
          <w:iCs/>
        </w:rPr>
        <w:t>L</w:t>
      </w:r>
      <w:r w:rsidRPr="000947F8">
        <w:t xml:space="preserve"> is the Lorentzian function which describes the quasi-elastic component mathematically, </w:t>
      </w:r>
      <w:r w:rsidRPr="000947F8">
        <w:rPr>
          <w:i/>
          <w:iCs/>
        </w:rPr>
        <w:t>Γ</w:t>
      </w:r>
      <w:r w:rsidRPr="000947F8">
        <w:t xml:space="preserve"> is the half width at half maximum of the quasi-elastic component, and </w:t>
      </w:r>
      <w:r w:rsidR="00FC0264">
        <w:rPr>
          <w:i/>
          <w:iCs/>
        </w:rPr>
        <w:t>y</w:t>
      </w:r>
      <w:r w:rsidR="00FC0264" w:rsidRPr="00FC0264">
        <w:rPr>
          <w:i/>
          <w:iCs/>
          <w:vertAlign w:val="subscript"/>
        </w:rPr>
        <w:t>0</w:t>
      </w:r>
      <w:r w:rsidRPr="000947F8">
        <w:t xml:space="preserve"> is the background.</w:t>
      </w:r>
      <w:r w:rsidR="000947F8">
        <w:t xml:space="preserve"> The characteristic times for rotational diffusion were calculated based on the </w:t>
      </w:r>
      <w:r w:rsidR="000947F8" w:rsidRPr="000947F8">
        <w:rPr>
          <w:i/>
          <w:iCs/>
        </w:rPr>
        <w:t>Γ</w:t>
      </w:r>
      <w:r w:rsidR="000947F8" w:rsidRPr="00C27C2E">
        <w:rPr>
          <w:vertAlign w:val="subscript"/>
        </w:rPr>
        <w:t>1</w:t>
      </w:r>
      <w:r w:rsidR="00C27C2E">
        <w:rPr>
          <w:vertAlign w:val="subscript"/>
        </w:rPr>
        <w:t xml:space="preserve"> </w:t>
      </w:r>
      <w:r w:rsidR="00C27C2E">
        <w:t xml:space="preserve">and </w:t>
      </w:r>
      <w:r w:rsidR="00C27C2E" w:rsidRPr="000947F8">
        <w:rPr>
          <w:i/>
          <w:iCs/>
        </w:rPr>
        <w:t>Γ</w:t>
      </w:r>
      <w:r w:rsidR="00C27C2E">
        <w:rPr>
          <w:vertAlign w:val="subscript"/>
        </w:rPr>
        <w:t xml:space="preserve">2 </w:t>
      </w:r>
      <w:r w:rsidR="00C27C2E">
        <w:t xml:space="preserve"> values by converting energy units (1 meV = </w:t>
      </w:r>
      <w:r w:rsidR="00C27C2E" w:rsidRPr="00C27C2E">
        <w:t>2.42</w:t>
      </w:r>
      <w:r w:rsidR="00C27C2E">
        <w:sym w:font="Symbol" w:char="F0D7"/>
      </w:r>
      <w:r w:rsidR="00C27C2E" w:rsidRPr="00C27C2E">
        <w:t>10</w:t>
      </w:r>
      <w:r w:rsidR="00C27C2E" w:rsidRPr="00C27C2E">
        <w:rPr>
          <w:vertAlign w:val="superscript"/>
        </w:rPr>
        <w:t>11</w:t>
      </w:r>
      <w:r w:rsidR="00C27C2E" w:rsidRPr="00C27C2E">
        <w:t xml:space="preserve"> Hz</w:t>
      </w:r>
      <w:r w:rsidR="00C27C2E">
        <w:t xml:space="preserve">). </w:t>
      </w:r>
    </w:p>
    <w:p w14:paraId="28178904" w14:textId="732A427F" w:rsidR="00655D5B" w:rsidRPr="00036AC2" w:rsidRDefault="00655D5B" w:rsidP="00362E10">
      <w:pPr>
        <w:pStyle w:val="Section"/>
      </w:pPr>
      <w:r>
        <w:t>Results and discussion</w:t>
      </w:r>
    </w:p>
    <w:p w14:paraId="6C8EEB02" w14:textId="2F575AEC" w:rsidR="00362E10" w:rsidRPr="00362E10" w:rsidRDefault="00205ADD" w:rsidP="00362E10">
      <w:pPr>
        <w:pStyle w:val="Subsection"/>
        <w:numPr>
          <w:ilvl w:val="1"/>
          <w:numId w:val="6"/>
        </w:numPr>
      </w:pPr>
      <w:r>
        <w:t>O</w:t>
      </w:r>
      <w:r w:rsidR="00362E10" w:rsidRPr="00362E10">
        <w:t>rtho</w:t>
      </w:r>
      <w:r>
        <w:t>-para</w:t>
      </w:r>
      <w:r w:rsidR="00362E10" w:rsidRPr="00362E10">
        <w:t xml:space="preserve"> transition of H</w:t>
      </w:r>
      <w:r w:rsidR="00362E10" w:rsidRPr="00362E10">
        <w:rPr>
          <w:vertAlign w:val="subscript"/>
        </w:rPr>
        <w:t>2</w:t>
      </w:r>
    </w:p>
    <w:p w14:paraId="580F749B" w14:textId="4E1AB4E7" w:rsidR="007F33D8" w:rsidRDefault="007F33D8" w:rsidP="00411726">
      <w:pPr>
        <w:pStyle w:val="Paragraphfirst"/>
      </w:pPr>
      <w:r>
        <w:t xml:space="preserve">The </w:t>
      </w:r>
      <w:r w:rsidRPr="005149E5">
        <w:t xml:space="preserve">rotational energy levels are given </w:t>
      </w:r>
      <w:proofErr w:type="gramStart"/>
      <w:r w:rsidRPr="005149E5">
        <w:t>by</w:t>
      </w:r>
      <w:proofErr w:type="gramEnd"/>
    </w:p>
    <w:p w14:paraId="46FD5D9C" w14:textId="77777777" w:rsidR="00800E46" w:rsidRPr="00800E46" w:rsidRDefault="00800E46" w:rsidP="00800E46">
      <w:pPr>
        <w:pStyle w:val="Paragraph"/>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1483"/>
        <w:gridCol w:w="1483"/>
      </w:tblGrid>
      <w:tr w:rsidR="00800E46" w14:paraId="6E54C22D" w14:textId="77777777" w:rsidTr="00800E46">
        <w:tc>
          <w:tcPr>
            <w:tcW w:w="1483" w:type="dxa"/>
          </w:tcPr>
          <w:p w14:paraId="1665EADD" w14:textId="77777777" w:rsidR="00800E46" w:rsidRPr="001B71A4" w:rsidRDefault="00800E46" w:rsidP="00800E46">
            <w:pPr>
              <w:pStyle w:val="Paragraph"/>
              <w:ind w:firstLine="0"/>
            </w:pPr>
          </w:p>
        </w:tc>
        <w:tc>
          <w:tcPr>
            <w:tcW w:w="1483" w:type="dxa"/>
          </w:tcPr>
          <w:p w14:paraId="5EEFCE24" w14:textId="4F7237B8" w:rsidR="00800E46" w:rsidRPr="001B71A4" w:rsidRDefault="00800E46" w:rsidP="00800E46">
            <w:pPr>
              <w:pStyle w:val="Paragraph"/>
              <w:ind w:firstLine="0"/>
            </w:pPr>
            <w:r w:rsidRPr="001B71A4">
              <w:rPr>
                <w:i/>
                <w:iCs/>
              </w:rPr>
              <w:t>E</w:t>
            </w:r>
            <w:r w:rsidRPr="001B71A4">
              <w:rPr>
                <w:vertAlign w:val="subscript"/>
              </w:rPr>
              <w:t>J</w:t>
            </w:r>
            <w:r w:rsidRPr="001B71A4">
              <w:t xml:space="preserve"> = B</w:t>
            </w:r>
            <w:r w:rsidR="00807943">
              <w:t xml:space="preserve"> </w:t>
            </w:r>
            <w:r w:rsidRPr="001B71A4">
              <w:rPr>
                <w:i/>
                <w:iCs/>
              </w:rPr>
              <w:t>J</w:t>
            </w:r>
            <w:r w:rsidR="00807943">
              <w:rPr>
                <w:i/>
                <w:iCs/>
              </w:rPr>
              <w:t xml:space="preserve"> </w:t>
            </w:r>
            <w:r w:rsidRPr="001B71A4">
              <w:t>(</w:t>
            </w:r>
            <w:r w:rsidRPr="001B71A4">
              <w:rPr>
                <w:i/>
                <w:iCs/>
              </w:rPr>
              <w:t>J</w:t>
            </w:r>
            <w:r w:rsidR="00807943">
              <w:rPr>
                <w:i/>
                <w:iCs/>
              </w:rPr>
              <w:t xml:space="preserve"> </w:t>
            </w:r>
            <w:r w:rsidRPr="001B71A4">
              <w:t>+</w:t>
            </w:r>
            <w:r w:rsidR="00807943">
              <w:t xml:space="preserve"> </w:t>
            </w:r>
            <w:r w:rsidRPr="001B71A4">
              <w:t>1)</w:t>
            </w:r>
          </w:p>
        </w:tc>
        <w:tc>
          <w:tcPr>
            <w:tcW w:w="1483" w:type="dxa"/>
          </w:tcPr>
          <w:p w14:paraId="30C41B36" w14:textId="63ED3564" w:rsidR="00800E46" w:rsidRPr="001B71A4" w:rsidRDefault="00800E46" w:rsidP="00800E46">
            <w:pPr>
              <w:pStyle w:val="Paragraph"/>
              <w:ind w:firstLine="0"/>
              <w:jc w:val="right"/>
            </w:pPr>
            <w:r w:rsidRPr="001B71A4">
              <w:rPr>
                <w:sz w:val="18"/>
                <w:szCs w:val="18"/>
              </w:rPr>
              <w:t>(3)</w:t>
            </w:r>
          </w:p>
        </w:tc>
      </w:tr>
    </w:tbl>
    <w:p w14:paraId="6AA75203" w14:textId="77777777" w:rsidR="00800E46" w:rsidRPr="00800E46" w:rsidRDefault="00800E46" w:rsidP="00800E46">
      <w:pPr>
        <w:pStyle w:val="Paragraph"/>
      </w:pPr>
    </w:p>
    <w:p w14:paraId="3179EB9E" w14:textId="2A42249C" w:rsidR="001C4A50" w:rsidRDefault="00026FFC" w:rsidP="001C4A50">
      <w:pPr>
        <w:pStyle w:val="Paragraph"/>
        <w:ind w:firstLine="0"/>
      </w:pPr>
      <w:r w:rsidRPr="005149E5">
        <w:t>w</w:t>
      </w:r>
      <w:r w:rsidR="007F33D8" w:rsidRPr="005149E5">
        <w:t xml:space="preserve">here </w:t>
      </w:r>
      <w:r w:rsidR="007F33D8" w:rsidRPr="005149E5">
        <w:rPr>
          <w:i/>
          <w:iCs/>
        </w:rPr>
        <w:t>J</w:t>
      </w:r>
      <w:r w:rsidR="007F33D8" w:rsidRPr="005149E5">
        <w:t xml:space="preserve"> is the </w:t>
      </w:r>
      <w:r w:rsidR="005149E5" w:rsidRPr="005149E5">
        <w:t>rotational</w:t>
      </w:r>
      <w:r w:rsidR="007F33D8" w:rsidRPr="005149E5">
        <w:t xml:space="preserve"> quantum number</w:t>
      </w:r>
      <w:r w:rsidR="005149E5" w:rsidRPr="005149E5">
        <w:t xml:space="preserve"> and B = 7.37 meV.</w:t>
      </w:r>
      <w:r w:rsidRPr="005149E5">
        <w:t xml:space="preserve"> </w:t>
      </w:r>
      <w:r w:rsidR="007345B4" w:rsidRPr="005149E5">
        <w:t>T</w:t>
      </w:r>
      <w:r w:rsidR="00693862" w:rsidRPr="005149E5">
        <w:t xml:space="preserve">he </w:t>
      </w:r>
      <w:r w:rsidR="007345B4" w:rsidRPr="005149E5">
        <w:t xml:space="preserve">free quantum rotor energy </w:t>
      </w:r>
      <w:r w:rsidR="002F72DD" w:rsidRPr="00F67721">
        <w:rPr>
          <w:color w:val="FF0000"/>
        </w:rPr>
        <w:t xml:space="preserve">of the </w:t>
      </w:r>
      <w:r w:rsidR="002F72DD" w:rsidRPr="00F67721">
        <w:rPr>
          <w:color w:val="FF0000"/>
        </w:rPr>
        <w:lastRenderedPageBreak/>
        <w:t xml:space="preserve">transition from the lower </w:t>
      </w:r>
      <w:r w:rsidR="0031223A">
        <w:rPr>
          <w:color w:val="FF0000"/>
        </w:rPr>
        <w:t xml:space="preserve">energy </w:t>
      </w:r>
      <w:r w:rsidR="002F72DD" w:rsidRPr="00F67721">
        <w:rPr>
          <w:color w:val="FF0000"/>
        </w:rPr>
        <w:t>para level to the higher</w:t>
      </w:r>
      <w:r w:rsidR="0031223A">
        <w:rPr>
          <w:color w:val="FF0000"/>
        </w:rPr>
        <w:t xml:space="preserve"> energy</w:t>
      </w:r>
      <w:r w:rsidR="002F72DD" w:rsidRPr="00F67721">
        <w:rPr>
          <w:color w:val="FF0000"/>
        </w:rPr>
        <w:t xml:space="preserve"> o</w:t>
      </w:r>
      <w:r w:rsidR="0031223A">
        <w:rPr>
          <w:color w:val="FF0000"/>
        </w:rPr>
        <w:t>r</w:t>
      </w:r>
      <w:r w:rsidR="002F72DD" w:rsidRPr="00F67721">
        <w:rPr>
          <w:color w:val="FF0000"/>
        </w:rPr>
        <w:t>tho</w:t>
      </w:r>
      <w:r w:rsidR="002F72DD">
        <w:rPr>
          <w:color w:val="FF0000"/>
        </w:rPr>
        <w:t xml:space="preserve"> level</w:t>
      </w:r>
      <w:r w:rsidR="007345B4" w:rsidRPr="005149E5">
        <w:t xml:space="preserve"> (</w:t>
      </w:r>
      <w:r w:rsidR="004E0287" w:rsidRPr="005149E5">
        <w:t>p</w:t>
      </w:r>
      <w:r w:rsidR="004E0287" w:rsidRPr="005149E5">
        <w:rPr>
          <w:rFonts w:ascii="Arial" w:hAnsi="Arial" w:cs="Arial"/>
        </w:rPr>
        <w:t>→</w:t>
      </w:r>
      <w:r w:rsidR="004E0287" w:rsidRPr="005149E5">
        <w:t xml:space="preserve">o, </w:t>
      </w:r>
      <w:r w:rsidR="00693862" w:rsidRPr="005149E5">
        <w:rPr>
          <w:i/>
          <w:iCs/>
        </w:rPr>
        <w:t>J</w:t>
      </w:r>
      <w:r w:rsidR="00693862" w:rsidRPr="005149E5">
        <w:t xml:space="preserve"> = 0 </w:t>
      </w:r>
      <w:r w:rsidR="00693862" w:rsidRPr="005149E5">
        <w:rPr>
          <w:rFonts w:ascii="Arial" w:hAnsi="Arial" w:cs="Arial"/>
        </w:rPr>
        <w:t>→</w:t>
      </w:r>
      <w:r w:rsidR="00693862" w:rsidRPr="005149E5">
        <w:t xml:space="preserve"> 1</w:t>
      </w:r>
      <w:r w:rsidR="007345B4" w:rsidRPr="005149E5">
        <w:t>) is 14</w:t>
      </w:r>
      <w:r w:rsidR="00693862" w:rsidRPr="005149E5">
        <w:t>.7 meV</w:t>
      </w:r>
      <w:r w:rsidR="00015C3B">
        <w:t xml:space="preserve"> </w:t>
      </w:r>
      <w:r w:rsidR="00205ADD" w:rsidRPr="00205ADD">
        <w:rPr>
          <w:rFonts w:cs="Times"/>
        </w:rPr>
        <w:t>[16,17]</w:t>
      </w:r>
      <w:r w:rsidR="009F6416">
        <w:rPr>
          <w:rFonts w:cs="Times"/>
        </w:rPr>
        <w:t>.</w:t>
      </w:r>
      <w:r w:rsidR="007F33D8">
        <w:t xml:space="preserve"> </w:t>
      </w:r>
    </w:p>
    <w:p w14:paraId="2A25960F" w14:textId="64B5D9F0" w:rsidR="001C4A50" w:rsidRDefault="004E0287" w:rsidP="001C4A50">
      <w:pPr>
        <w:pStyle w:val="Paragraph"/>
      </w:pPr>
      <w:r>
        <w:t>Th</w:t>
      </w:r>
      <w:r w:rsidR="00A30038">
        <w:t xml:space="preserve">e para-ortho transition </w:t>
      </w:r>
      <w:r>
        <w:t>band is seen when the H</w:t>
      </w:r>
      <w:r w:rsidRPr="007345B4">
        <w:rPr>
          <w:vertAlign w:val="subscript"/>
        </w:rPr>
        <w:t>2</w:t>
      </w:r>
      <w:r>
        <w:t xml:space="preserve"> is adsorbed strongly in the carbon material, </w:t>
      </w:r>
      <w:proofErr w:type="gramStart"/>
      <w:r>
        <w:t>i.e.</w:t>
      </w:r>
      <w:proofErr w:type="gramEnd"/>
      <w:r>
        <w:t xml:space="preserve"> due to adsorption, the H</w:t>
      </w:r>
      <w:r w:rsidRPr="007345B4">
        <w:rPr>
          <w:vertAlign w:val="subscript"/>
        </w:rPr>
        <w:t>2</w:t>
      </w:r>
      <w:r>
        <w:t xml:space="preserve"> molecule struck by the </w:t>
      </w:r>
      <w:r w:rsidRPr="00382D8E">
        <w:t xml:space="preserve">neutron </w:t>
      </w:r>
      <w:r w:rsidR="00501A61">
        <w:t xml:space="preserve">is not able to </w:t>
      </w:r>
      <w:r w:rsidRPr="00382D8E">
        <w:t>diffuse freely</w:t>
      </w:r>
      <w:r w:rsidR="00A30038">
        <w:t xml:space="preserve"> and therefore</w:t>
      </w:r>
      <w:r w:rsidR="00501A61">
        <w:t>,</w:t>
      </w:r>
      <w:r w:rsidR="00A30038">
        <w:t xml:space="preserve"> undergoes rotational excitation</w:t>
      </w:r>
      <w:r w:rsidRPr="00382D8E">
        <w:t xml:space="preserve"> </w:t>
      </w:r>
      <w:r w:rsidR="00205ADD" w:rsidRPr="00205ADD">
        <w:rPr>
          <w:rFonts w:cs="Times"/>
          <w:szCs w:val="24"/>
        </w:rPr>
        <w:t>[18–20]</w:t>
      </w:r>
      <w:r w:rsidR="009F6416">
        <w:rPr>
          <w:rFonts w:cs="Times"/>
          <w:szCs w:val="24"/>
        </w:rPr>
        <w:t>.</w:t>
      </w:r>
      <w:r w:rsidR="00A30038" w:rsidRPr="00382D8E">
        <w:t xml:space="preserve"> </w:t>
      </w:r>
      <w:r w:rsidR="00501A61">
        <w:t>T</w:t>
      </w:r>
      <w:r w:rsidR="00A30038" w:rsidRPr="00382D8E">
        <w:t>he detection of p</w:t>
      </w:r>
      <w:r w:rsidR="00A30038" w:rsidRPr="00382D8E">
        <w:rPr>
          <w:rFonts w:ascii="Arial" w:hAnsi="Arial" w:cs="Arial"/>
        </w:rPr>
        <w:t>→</w:t>
      </w:r>
      <w:r w:rsidR="00A30038" w:rsidRPr="00382D8E">
        <w:t xml:space="preserve">o transition band has been seen as evidence of very strongly adsorbed </w:t>
      </w:r>
      <w:r w:rsidR="00A30038">
        <w:t>H</w:t>
      </w:r>
      <w:r w:rsidR="00A30038" w:rsidRPr="00A30038">
        <w:rPr>
          <w:vertAlign w:val="subscript"/>
        </w:rPr>
        <w:t>2</w:t>
      </w:r>
      <w:r w:rsidR="00A30038" w:rsidRPr="00382D8E">
        <w:t xml:space="preserve"> in the porous material </w:t>
      </w:r>
      <w:r w:rsidR="00205ADD" w:rsidRPr="00205ADD">
        <w:rPr>
          <w:rFonts w:cs="Times"/>
        </w:rPr>
        <w:t>[21]</w:t>
      </w:r>
      <w:r w:rsidR="009F6416">
        <w:rPr>
          <w:rFonts w:cs="Times"/>
        </w:rPr>
        <w:t>.</w:t>
      </w:r>
      <w:r w:rsidR="00BF6D28">
        <w:t xml:space="preserve"> </w:t>
      </w:r>
      <w:r w:rsidR="009F6416" w:rsidRPr="00D918FF">
        <w:rPr>
          <w:color w:val="000000" w:themeColor="text1"/>
        </w:rPr>
        <w:t>T</w:t>
      </w:r>
      <w:r w:rsidR="00BF6D28" w:rsidRPr="00D918FF">
        <w:rPr>
          <w:color w:val="000000" w:themeColor="text1"/>
        </w:rPr>
        <w:t>he</w:t>
      </w:r>
      <w:r w:rsidR="009F6416" w:rsidRPr="00D918FF">
        <w:rPr>
          <w:color w:val="000000" w:themeColor="text1"/>
        </w:rPr>
        <w:t xml:space="preserve"> ortho to para </w:t>
      </w:r>
      <w:r w:rsidR="00BF6D28" w:rsidRPr="00D918FF">
        <w:rPr>
          <w:color w:val="000000" w:themeColor="text1"/>
        </w:rPr>
        <w:t>(o→p</w:t>
      </w:r>
      <w:r w:rsidR="00BF6D28" w:rsidRPr="00D918FF">
        <w:rPr>
          <w:rFonts w:ascii="Arial" w:hAnsi="Arial" w:cs="Arial"/>
          <w:color w:val="000000" w:themeColor="text1"/>
        </w:rPr>
        <w:t>,</w:t>
      </w:r>
      <w:r w:rsidR="00BF6D28" w:rsidRPr="00D918FF">
        <w:rPr>
          <w:i/>
          <w:iCs/>
          <w:color w:val="000000" w:themeColor="text1"/>
        </w:rPr>
        <w:t xml:space="preserve"> J</w:t>
      </w:r>
      <w:r w:rsidR="00BF6D28" w:rsidRPr="00D918FF">
        <w:rPr>
          <w:color w:val="000000" w:themeColor="text1"/>
        </w:rPr>
        <w:t xml:space="preserve"> = 1 </w:t>
      </w:r>
      <w:r w:rsidR="00BF6D28" w:rsidRPr="00D918FF">
        <w:rPr>
          <w:rFonts w:ascii="Arial" w:hAnsi="Arial" w:cs="Arial"/>
          <w:color w:val="000000" w:themeColor="text1"/>
        </w:rPr>
        <w:t>→</w:t>
      </w:r>
      <w:r w:rsidR="00BF6D28" w:rsidRPr="00D918FF">
        <w:rPr>
          <w:color w:val="000000" w:themeColor="text1"/>
        </w:rPr>
        <w:t xml:space="preserve"> 0)</w:t>
      </w:r>
      <w:r w:rsidR="001C4A50" w:rsidRPr="00D918FF">
        <w:rPr>
          <w:color w:val="000000" w:themeColor="text1"/>
        </w:rPr>
        <w:t xml:space="preserve">, </w:t>
      </w:r>
      <w:proofErr w:type="gramStart"/>
      <w:r w:rsidR="001C4A50" w:rsidRPr="00D918FF">
        <w:rPr>
          <w:color w:val="000000" w:themeColor="text1"/>
        </w:rPr>
        <w:t>i.e.</w:t>
      </w:r>
      <w:proofErr w:type="gramEnd"/>
      <w:r w:rsidR="001C4A50" w:rsidRPr="00D918FF">
        <w:rPr>
          <w:color w:val="000000" w:themeColor="text1"/>
        </w:rPr>
        <w:t xml:space="preserve"> a </w:t>
      </w:r>
      <w:r w:rsidR="000D03C7" w:rsidRPr="00D918FF">
        <w:rPr>
          <w:color w:val="000000" w:themeColor="text1"/>
        </w:rPr>
        <w:t xml:space="preserve">reverse </w:t>
      </w:r>
      <w:r w:rsidR="00BF6D28" w:rsidRPr="00D918FF">
        <w:rPr>
          <w:color w:val="000000" w:themeColor="text1"/>
        </w:rPr>
        <w:t>transition could be investigated</w:t>
      </w:r>
      <w:r w:rsidR="009F6416" w:rsidRPr="00D918FF">
        <w:rPr>
          <w:color w:val="000000" w:themeColor="text1"/>
        </w:rPr>
        <w:t xml:space="preserve"> in the energy transfer window available in this study</w:t>
      </w:r>
      <w:r w:rsidR="00BF6D28" w:rsidRPr="00D918FF">
        <w:rPr>
          <w:color w:val="000000" w:themeColor="text1"/>
        </w:rPr>
        <w:t>.</w:t>
      </w:r>
      <w:r w:rsidR="001C4A50">
        <w:t xml:space="preserve"> </w:t>
      </w:r>
      <w:r w:rsidR="00D918FF">
        <w:t xml:space="preserve">At room temperature, the ortho to para ratio of hydrogen is about 3:1, but para form will become prevalent at low temperatures. </w:t>
      </w:r>
      <w:r w:rsidR="000D03C7" w:rsidRPr="000D03C7" w:rsidDel="000D03C7">
        <w:t>The spin conversion process from ortho to para H</w:t>
      </w:r>
      <w:r w:rsidR="000D03C7" w:rsidRPr="000D03C7" w:rsidDel="000D03C7">
        <w:rPr>
          <w:vertAlign w:val="subscript"/>
        </w:rPr>
        <w:t>2</w:t>
      </w:r>
      <w:r w:rsidR="000D03C7" w:rsidRPr="000D03C7" w:rsidDel="000D03C7">
        <w:t xml:space="preserve"> is exothermic releasing 535 kJ kg</w:t>
      </w:r>
      <w:r w:rsidR="000D03C7" w:rsidRPr="000D03C7" w:rsidDel="000D03C7">
        <w:rPr>
          <w:rFonts w:ascii="Symbol" w:hAnsi="Symbol"/>
          <w:vertAlign w:val="superscript"/>
        </w:rPr>
        <w:t>-</w:t>
      </w:r>
      <w:r w:rsidR="000D03C7" w:rsidRPr="000D03C7" w:rsidDel="000D03C7">
        <w:rPr>
          <w:vertAlign w:val="superscript"/>
        </w:rPr>
        <w:t>1</w:t>
      </w:r>
      <w:r w:rsidR="000D03C7" w:rsidRPr="000D03C7" w:rsidDel="000D03C7">
        <w:t xml:space="preserve"> of heat, meaning that a rapid</w:t>
      </w:r>
      <w:r w:rsidR="00D918FF">
        <w:t xml:space="preserve"> o</w:t>
      </w:r>
      <w:r w:rsidR="00D918FF" w:rsidRPr="009F6416">
        <w:t>→p</w:t>
      </w:r>
      <w:r w:rsidR="000D03C7" w:rsidRPr="000D03C7" w:rsidDel="000D03C7">
        <w:t xml:space="preserve"> conversion could </w:t>
      </w:r>
      <w:r w:rsidR="008C03E4">
        <w:t>result in desorption and evaporation of</w:t>
      </w:r>
      <w:r w:rsidR="000D03C7" w:rsidRPr="000D03C7" w:rsidDel="000D03C7">
        <w:t xml:space="preserve"> the adsorbed H</w:t>
      </w:r>
      <w:r w:rsidR="000D03C7" w:rsidRPr="000D03C7" w:rsidDel="000D03C7">
        <w:rPr>
          <w:vertAlign w:val="subscript"/>
        </w:rPr>
        <w:t>2</w:t>
      </w:r>
      <w:r w:rsidR="000D03C7" w:rsidRPr="000D03C7" w:rsidDel="000D03C7">
        <w:t xml:space="preserve"> [22]. Therefore, it is </w:t>
      </w:r>
      <w:r w:rsidR="000D03C7" w:rsidRPr="00FA2043" w:rsidDel="000D03C7">
        <w:rPr>
          <w:color w:val="FF0000"/>
        </w:rPr>
        <w:t xml:space="preserve">of interest </w:t>
      </w:r>
      <w:r w:rsidR="000D03C7" w:rsidRPr="000D03C7" w:rsidDel="000D03C7">
        <w:t>to stabilize the H</w:t>
      </w:r>
      <w:r w:rsidR="000D03C7" w:rsidRPr="000D03C7" w:rsidDel="000D03C7">
        <w:rPr>
          <w:vertAlign w:val="subscript"/>
        </w:rPr>
        <w:t>2</w:t>
      </w:r>
      <w:r w:rsidR="000D03C7" w:rsidRPr="000D03C7" w:rsidDel="000D03C7">
        <w:t xml:space="preserve"> adsorbed in ortho state.</w:t>
      </w:r>
    </w:p>
    <w:p w14:paraId="0B68E5E5" w14:textId="35BF96D4" w:rsidR="004E0287" w:rsidRPr="00382D8E" w:rsidRDefault="00FF0627" w:rsidP="004E0287">
      <w:pPr>
        <w:pStyle w:val="Paragraph"/>
      </w:pPr>
      <w:r>
        <w:t>H</w:t>
      </w:r>
      <w:r w:rsidRPr="00FF0627">
        <w:rPr>
          <w:vertAlign w:val="subscript"/>
        </w:rPr>
        <w:t>2</w:t>
      </w:r>
      <w:r>
        <w:t xml:space="preserve"> adsorbed i</w:t>
      </w:r>
      <w:r w:rsidR="00A30038" w:rsidRPr="00382D8E">
        <w:t xml:space="preserve">n C-TiC, a </w:t>
      </w:r>
      <w:r w:rsidR="00BF6D28">
        <w:t>o</w:t>
      </w:r>
      <w:r w:rsidR="00A30038" w:rsidRPr="005149E5">
        <w:rPr>
          <w:rFonts w:ascii="Arial" w:hAnsi="Arial" w:cs="Arial"/>
        </w:rPr>
        <w:t>→</w:t>
      </w:r>
      <w:r w:rsidR="00BF6D28">
        <w:t>p</w:t>
      </w:r>
      <w:r w:rsidR="00A30038" w:rsidRPr="005149E5">
        <w:t xml:space="preserve"> transition</w:t>
      </w:r>
      <w:r w:rsidR="00A30038" w:rsidRPr="00382D8E">
        <w:t xml:space="preserve"> band</w:t>
      </w:r>
      <w:r w:rsidR="00A30038">
        <w:t xml:space="preserve"> near </w:t>
      </w:r>
      <w:r w:rsidR="009720FE">
        <w:br/>
      </w:r>
      <w:r w:rsidR="00DB5D7A" w:rsidRPr="009720FE">
        <w:rPr>
          <w:i/>
          <w:iCs/>
          <w:color w:val="FF0000"/>
        </w:rPr>
        <w:t>E</w:t>
      </w:r>
      <w:r w:rsidR="00DB5D7A" w:rsidRPr="009720FE">
        <w:rPr>
          <w:color w:val="FF0000"/>
        </w:rPr>
        <w:t xml:space="preserve"> </w:t>
      </w:r>
      <w:r w:rsidR="00DB5D7A">
        <w:t xml:space="preserve">= </w:t>
      </w:r>
      <w:r w:rsidR="00BF6D28">
        <w:rPr>
          <w:rFonts w:ascii="Arial" w:hAnsi="Arial" w:cs="Arial"/>
        </w:rPr>
        <w:t>−</w:t>
      </w:r>
      <w:r>
        <w:t>14 meV</w:t>
      </w:r>
      <w:r w:rsidR="00A30038" w:rsidRPr="00382D8E">
        <w:t xml:space="preserve"> is visible at 10 K (Fig. 1a). </w:t>
      </w:r>
      <w:r w:rsidR="004E0287" w:rsidRPr="00382D8E">
        <w:t xml:space="preserve">However, no </w:t>
      </w:r>
      <w:r w:rsidR="00BF6D28">
        <w:t>o</w:t>
      </w:r>
      <w:r w:rsidR="00382D8E" w:rsidRPr="00382D8E">
        <w:rPr>
          <w:rFonts w:ascii="Arial" w:hAnsi="Arial" w:cs="Arial"/>
        </w:rPr>
        <w:t>→</w:t>
      </w:r>
      <w:r w:rsidR="00BF6D28">
        <w:t>p</w:t>
      </w:r>
      <w:r w:rsidR="00382D8E" w:rsidRPr="00382D8E">
        <w:t xml:space="preserve"> </w:t>
      </w:r>
      <w:r w:rsidR="004E0287" w:rsidRPr="00382D8E">
        <w:t xml:space="preserve">transition band is </w:t>
      </w:r>
      <w:r w:rsidR="009F6416">
        <w:t>detected</w:t>
      </w:r>
      <w:r w:rsidR="004E0287" w:rsidRPr="00382D8E">
        <w:t xml:space="preserve"> at low hydrogen coverages (</w:t>
      </w:r>
      <w:r w:rsidR="004E0287" w:rsidRPr="00382D8E">
        <w:rPr>
          <w:i/>
          <w:iCs/>
        </w:rPr>
        <w:t>p</w:t>
      </w:r>
      <w:r w:rsidR="004E0287" w:rsidRPr="00382D8E">
        <w:rPr>
          <w:vertAlign w:val="subscript"/>
        </w:rPr>
        <w:t xml:space="preserve">H2,load </w:t>
      </w:r>
      <w:r w:rsidR="004E0287" w:rsidRPr="00382D8E">
        <w:sym w:font="Symbol" w:char="F0A3"/>
      </w:r>
      <w:r w:rsidR="004E0287" w:rsidRPr="00382D8E">
        <w:t xml:space="preserve"> 87 mbar) in C-SiC and Mo</w:t>
      </w:r>
      <w:r w:rsidR="004E0287" w:rsidRPr="00382D8E">
        <w:rPr>
          <w:vertAlign w:val="subscript"/>
        </w:rPr>
        <w:t>2</w:t>
      </w:r>
      <w:r w:rsidR="004E0287" w:rsidRPr="00382D8E">
        <w:t xml:space="preserve">C in the investigated temperature range (Fig. 1b-c). </w:t>
      </w:r>
      <w:r w:rsidR="00A30038">
        <w:t xml:space="preserve">The pore size distributions of C-SiC and C-TiC are very similar </w:t>
      </w:r>
      <w:r w:rsidR="00FD490C" w:rsidRPr="00FD490C">
        <w:rPr>
          <w:rFonts w:cs="Times"/>
        </w:rPr>
        <w:t>[5]</w:t>
      </w:r>
      <w:r w:rsidR="009F6416">
        <w:rPr>
          <w:rFonts w:cs="Times"/>
        </w:rPr>
        <w:t>,</w:t>
      </w:r>
      <w:r w:rsidR="00A30038">
        <w:t xml:space="preserve"> so the porous structure alone </w:t>
      </w:r>
      <w:r w:rsidR="007A0540">
        <w:t>cannot</w:t>
      </w:r>
      <w:r w:rsidR="00A30038">
        <w:t xml:space="preserve"> explain why the </w:t>
      </w:r>
      <w:r w:rsidR="00BF6D28">
        <w:t>o</w:t>
      </w:r>
      <w:r w:rsidR="00A30038" w:rsidRPr="00382D8E">
        <w:rPr>
          <w:rFonts w:ascii="Arial" w:hAnsi="Arial" w:cs="Arial"/>
        </w:rPr>
        <w:t>→</w:t>
      </w:r>
      <w:r w:rsidR="00BF6D28">
        <w:t>p</w:t>
      </w:r>
      <w:r w:rsidR="00A30038" w:rsidRPr="00382D8E">
        <w:t xml:space="preserve"> </w:t>
      </w:r>
      <w:r w:rsidR="00A30038">
        <w:t>transition band was seen for H</w:t>
      </w:r>
      <w:r w:rsidR="00A30038" w:rsidRPr="00AF2313">
        <w:rPr>
          <w:vertAlign w:val="subscript"/>
        </w:rPr>
        <w:t>2</w:t>
      </w:r>
      <w:r w:rsidR="00A30038">
        <w:t xml:space="preserve"> adsorbed in C-TiC, but not for H</w:t>
      </w:r>
      <w:r w:rsidR="00A30038" w:rsidRPr="00AF2313">
        <w:rPr>
          <w:vertAlign w:val="subscript"/>
        </w:rPr>
        <w:t>2</w:t>
      </w:r>
      <w:r w:rsidR="00A30038">
        <w:t xml:space="preserve"> adsorbed in C-SiC and C-Mo</w:t>
      </w:r>
      <w:r w:rsidR="00A30038" w:rsidRPr="00AF2313">
        <w:rPr>
          <w:vertAlign w:val="subscript"/>
        </w:rPr>
        <w:t>2</w:t>
      </w:r>
      <w:r w:rsidR="00A30038">
        <w:t>C at 10 K.</w:t>
      </w:r>
      <w:r w:rsidR="009F6416">
        <w:t xml:space="preserve"> As the temperature is increased to 50 K, a s</w:t>
      </w:r>
      <w:r w:rsidR="00CF21DE">
        <w:t>l</w:t>
      </w:r>
      <w:r w:rsidR="009F6416">
        <w:t>ight quasi-elastic br</w:t>
      </w:r>
      <w:r w:rsidR="007A0540">
        <w:t>oa</w:t>
      </w:r>
      <w:r w:rsidR="009F6416">
        <w:t xml:space="preserve">dening becomes visible in the </w:t>
      </w:r>
      <w:r w:rsidR="009F6416" w:rsidRPr="00D84E8C">
        <w:rPr>
          <w:i/>
          <w:iCs/>
          <w:color w:val="FF0000"/>
        </w:rPr>
        <w:t>S</w:t>
      </w:r>
      <w:r w:rsidR="009F6416" w:rsidRPr="00D84E8C">
        <w:rPr>
          <w:color w:val="FF0000"/>
        </w:rPr>
        <w:t>(</w:t>
      </w:r>
      <w:r w:rsidR="009F6416" w:rsidRPr="00D84E8C">
        <w:rPr>
          <w:i/>
          <w:iCs/>
          <w:color w:val="FF0000"/>
        </w:rPr>
        <w:t>E</w:t>
      </w:r>
      <w:r w:rsidR="009F6416" w:rsidRPr="00D84E8C">
        <w:t>).</w:t>
      </w:r>
      <w:r w:rsidR="009F6416">
        <w:t xml:space="preserve"> </w:t>
      </w:r>
    </w:p>
    <w:p w14:paraId="4BDC1279" w14:textId="756EF656" w:rsidR="00D93BFC" w:rsidRDefault="00154AE8" w:rsidP="00D93BFC">
      <w:pPr>
        <w:pStyle w:val="Paragraph"/>
        <w:ind w:firstLine="0"/>
      </w:pPr>
      <w:r w:rsidRPr="00A95C9B">
        <w:rPr>
          <w:lang w:val="et-EE"/>
        </w:rPr>
        <w:object w:dxaOrig="4670" w:dyaOrig="2667" w14:anchorId="78474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4.25pt;height:128.25pt" o:ole="">
            <v:imagedata r:id="rId9" o:title=""/>
          </v:shape>
          <o:OLEObject Type="Embed" ProgID="Origin95.Graph" ShapeID="_x0000_i1032" DrawAspect="Content" ObjectID="_1749888350" r:id="rId10"/>
        </w:object>
      </w:r>
    </w:p>
    <w:p w14:paraId="016185A7" w14:textId="54611651" w:rsidR="00E82CFA" w:rsidRPr="00BF6D28" w:rsidRDefault="00E82CFA" w:rsidP="00E82CFA">
      <w:pPr>
        <w:pStyle w:val="Paragraph"/>
        <w:ind w:firstLine="0"/>
      </w:pPr>
      <w:r w:rsidRPr="000D5D33">
        <w:rPr>
          <w:b/>
          <w:bCs/>
          <w:sz w:val="18"/>
          <w:szCs w:val="18"/>
        </w:rPr>
        <w:t>Fig. 1</w:t>
      </w:r>
      <w:r w:rsidRPr="000D5D33">
        <w:rPr>
          <w:sz w:val="18"/>
          <w:szCs w:val="18"/>
        </w:rPr>
        <w:t xml:space="preserve">. </w:t>
      </w:r>
      <w:r w:rsidRPr="00165517">
        <w:rPr>
          <w:color w:val="FF0000"/>
          <w:sz w:val="18"/>
          <w:szCs w:val="18"/>
        </w:rPr>
        <w:t>The</w:t>
      </w:r>
      <w:r w:rsidR="00165517" w:rsidRPr="00165517">
        <w:rPr>
          <w:color w:val="FF0000"/>
          <w:sz w:val="18"/>
          <w:szCs w:val="18"/>
        </w:rPr>
        <w:t xml:space="preserve"> </w:t>
      </w:r>
      <w:r w:rsidR="009720FE">
        <w:rPr>
          <w:color w:val="FF0000"/>
          <w:sz w:val="18"/>
          <w:szCs w:val="18"/>
        </w:rPr>
        <w:t>intensities</w:t>
      </w:r>
      <w:r w:rsidRPr="00165517">
        <w:rPr>
          <w:color w:val="FF0000"/>
          <w:sz w:val="18"/>
          <w:szCs w:val="18"/>
        </w:rPr>
        <w:t xml:space="preserve">, </w:t>
      </w:r>
      <w:r w:rsidRPr="00165517">
        <w:rPr>
          <w:i/>
          <w:iCs/>
          <w:color w:val="FF0000"/>
          <w:sz w:val="18"/>
          <w:szCs w:val="18"/>
        </w:rPr>
        <w:t>S</w:t>
      </w:r>
      <w:r w:rsidRPr="00165517">
        <w:rPr>
          <w:color w:val="FF0000"/>
          <w:sz w:val="18"/>
          <w:szCs w:val="18"/>
        </w:rPr>
        <w:t>(</w:t>
      </w:r>
      <w:r w:rsidRPr="00165517">
        <w:rPr>
          <w:i/>
          <w:iCs/>
          <w:color w:val="FF0000"/>
          <w:sz w:val="18"/>
          <w:szCs w:val="18"/>
        </w:rPr>
        <w:t>E</w:t>
      </w:r>
      <w:r w:rsidRPr="00165517">
        <w:rPr>
          <w:color w:val="FF0000"/>
          <w:sz w:val="18"/>
          <w:szCs w:val="18"/>
        </w:rPr>
        <w:t>),</w:t>
      </w:r>
      <w:r w:rsidR="006C5BF4" w:rsidRPr="00165517">
        <w:rPr>
          <w:color w:val="FF0000"/>
          <w:sz w:val="18"/>
          <w:szCs w:val="18"/>
        </w:rPr>
        <w:t xml:space="preserve"> </w:t>
      </w:r>
      <w:r w:rsidR="006C5BF4">
        <w:rPr>
          <w:sz w:val="18"/>
          <w:szCs w:val="18"/>
        </w:rPr>
        <w:t xml:space="preserve">in the </w:t>
      </w:r>
      <w:r w:rsidR="009F6416">
        <w:rPr>
          <w:sz w:val="18"/>
          <w:szCs w:val="18"/>
        </w:rPr>
        <w:t>o</w:t>
      </w:r>
      <w:r w:rsidR="006C5BF4" w:rsidRPr="006C5BF4">
        <w:rPr>
          <w:sz w:val="18"/>
          <w:szCs w:val="18"/>
        </w:rPr>
        <w:t>→</w:t>
      </w:r>
      <w:r w:rsidR="009F6416">
        <w:rPr>
          <w:sz w:val="18"/>
          <w:szCs w:val="18"/>
        </w:rPr>
        <w:t>p</w:t>
      </w:r>
      <w:r w:rsidR="006C5BF4">
        <w:rPr>
          <w:sz w:val="18"/>
          <w:szCs w:val="18"/>
        </w:rPr>
        <w:t xml:space="preserve"> </w:t>
      </w:r>
      <w:r w:rsidR="009F6416">
        <w:rPr>
          <w:sz w:val="18"/>
          <w:szCs w:val="18"/>
        </w:rPr>
        <w:t xml:space="preserve">energy transfer </w:t>
      </w:r>
      <w:r w:rsidR="006C5BF4">
        <w:rPr>
          <w:sz w:val="18"/>
          <w:szCs w:val="18"/>
        </w:rPr>
        <w:t xml:space="preserve">range. (a) C-TiC at </w:t>
      </w:r>
      <w:r w:rsidR="006C5BF4" w:rsidRPr="006C5BF4">
        <w:rPr>
          <w:i/>
          <w:iCs/>
          <w:sz w:val="18"/>
          <w:szCs w:val="18"/>
        </w:rPr>
        <w:t>p</w:t>
      </w:r>
      <w:r w:rsidR="006C5BF4" w:rsidRPr="006C5BF4">
        <w:rPr>
          <w:sz w:val="18"/>
          <w:szCs w:val="18"/>
          <w:vertAlign w:val="subscript"/>
        </w:rPr>
        <w:t>H2,load</w:t>
      </w:r>
      <w:r w:rsidR="006C5BF4">
        <w:rPr>
          <w:sz w:val="18"/>
          <w:szCs w:val="18"/>
          <w:vertAlign w:val="subscript"/>
        </w:rPr>
        <w:t xml:space="preserve"> </w:t>
      </w:r>
      <w:r w:rsidR="006C5BF4">
        <w:rPr>
          <w:sz w:val="18"/>
          <w:szCs w:val="18"/>
        </w:rPr>
        <w:t>= 11 mbar</w:t>
      </w:r>
      <w:r w:rsidR="009F6416">
        <w:rPr>
          <w:sz w:val="18"/>
          <w:szCs w:val="18"/>
        </w:rPr>
        <w:t>,</w:t>
      </w:r>
      <w:r w:rsidR="006C5BF4">
        <w:rPr>
          <w:sz w:val="18"/>
          <w:szCs w:val="18"/>
        </w:rPr>
        <w:t xml:space="preserve"> (b) C-Mo</w:t>
      </w:r>
      <w:r w:rsidR="006C5BF4" w:rsidRPr="006C5BF4">
        <w:rPr>
          <w:sz w:val="18"/>
          <w:szCs w:val="18"/>
          <w:vertAlign w:val="subscript"/>
        </w:rPr>
        <w:t>2</w:t>
      </w:r>
      <w:r w:rsidR="006C5BF4">
        <w:rPr>
          <w:sz w:val="18"/>
          <w:szCs w:val="18"/>
        </w:rPr>
        <w:t xml:space="preserve">C at </w:t>
      </w:r>
      <w:r w:rsidR="006C5BF4" w:rsidRPr="006C5BF4">
        <w:rPr>
          <w:i/>
          <w:iCs/>
          <w:sz w:val="18"/>
          <w:szCs w:val="18"/>
        </w:rPr>
        <w:t>p</w:t>
      </w:r>
      <w:r w:rsidR="006C5BF4" w:rsidRPr="006C5BF4">
        <w:rPr>
          <w:sz w:val="18"/>
          <w:szCs w:val="18"/>
          <w:vertAlign w:val="subscript"/>
        </w:rPr>
        <w:t>H2,load</w:t>
      </w:r>
      <w:r w:rsidR="006C5BF4">
        <w:rPr>
          <w:sz w:val="18"/>
          <w:szCs w:val="18"/>
          <w:vertAlign w:val="subscript"/>
        </w:rPr>
        <w:t xml:space="preserve"> </w:t>
      </w:r>
      <w:r w:rsidR="006C5BF4">
        <w:rPr>
          <w:sz w:val="18"/>
          <w:szCs w:val="18"/>
        </w:rPr>
        <w:t xml:space="preserve">= 87 mbar and (c) C-SiC at </w:t>
      </w:r>
      <w:r w:rsidR="006C5BF4" w:rsidRPr="006C5BF4">
        <w:rPr>
          <w:i/>
          <w:iCs/>
          <w:sz w:val="18"/>
          <w:szCs w:val="18"/>
        </w:rPr>
        <w:t>p</w:t>
      </w:r>
      <w:r w:rsidR="006C5BF4" w:rsidRPr="006C5BF4">
        <w:rPr>
          <w:sz w:val="18"/>
          <w:szCs w:val="18"/>
          <w:vertAlign w:val="subscript"/>
        </w:rPr>
        <w:t>H2,load</w:t>
      </w:r>
      <w:r w:rsidR="006C5BF4">
        <w:rPr>
          <w:sz w:val="18"/>
          <w:szCs w:val="18"/>
          <w:vertAlign w:val="subscript"/>
        </w:rPr>
        <w:t xml:space="preserve"> </w:t>
      </w:r>
      <w:r w:rsidR="006C5BF4">
        <w:rPr>
          <w:sz w:val="18"/>
          <w:szCs w:val="18"/>
        </w:rPr>
        <w:t xml:space="preserve">= 11 mbar. The red lines correspond to the </w:t>
      </w:r>
      <w:r w:rsidR="009720FE">
        <w:rPr>
          <w:color w:val="FF0000"/>
          <w:sz w:val="18"/>
          <w:szCs w:val="18"/>
        </w:rPr>
        <w:t>intensities</w:t>
      </w:r>
      <w:r w:rsidR="006C5BF4" w:rsidRPr="00165517">
        <w:rPr>
          <w:sz w:val="18"/>
          <w:szCs w:val="18"/>
        </w:rPr>
        <w:t xml:space="preserve"> of</w:t>
      </w:r>
      <w:r w:rsidR="00501A61" w:rsidRPr="00D84E8C">
        <w:rPr>
          <w:sz w:val="18"/>
          <w:szCs w:val="18"/>
        </w:rPr>
        <w:t xml:space="preserve"> the corresponding</w:t>
      </w:r>
      <w:r w:rsidR="006C5BF4" w:rsidRPr="00D84E8C">
        <w:rPr>
          <w:sz w:val="18"/>
          <w:szCs w:val="18"/>
        </w:rPr>
        <w:t xml:space="preserve"> outgassed carbons, </w:t>
      </w:r>
      <w:r w:rsidR="006C5BF4" w:rsidRPr="00D84E8C">
        <w:rPr>
          <w:i/>
          <w:iCs/>
          <w:color w:val="FF0000"/>
          <w:sz w:val="18"/>
          <w:szCs w:val="18"/>
        </w:rPr>
        <w:t>S</w:t>
      </w:r>
      <w:r w:rsidR="006C5BF4" w:rsidRPr="00D84E8C">
        <w:rPr>
          <w:color w:val="FF0000"/>
          <w:sz w:val="18"/>
          <w:szCs w:val="18"/>
          <w:vertAlign w:val="subscript"/>
        </w:rPr>
        <w:t>C</w:t>
      </w:r>
      <w:r w:rsidR="006C5BF4" w:rsidRPr="00D84E8C">
        <w:rPr>
          <w:color w:val="FF0000"/>
          <w:sz w:val="18"/>
          <w:szCs w:val="18"/>
        </w:rPr>
        <w:t>(</w:t>
      </w:r>
      <w:r w:rsidR="006C5BF4" w:rsidRPr="00D84E8C">
        <w:rPr>
          <w:i/>
          <w:iCs/>
          <w:color w:val="FF0000"/>
          <w:sz w:val="18"/>
          <w:szCs w:val="18"/>
        </w:rPr>
        <w:t>E</w:t>
      </w:r>
      <w:r w:rsidR="006C5BF4" w:rsidRPr="00D84E8C">
        <w:rPr>
          <w:color w:val="FF0000"/>
          <w:sz w:val="18"/>
          <w:szCs w:val="18"/>
        </w:rPr>
        <w:t>)</w:t>
      </w:r>
      <w:r w:rsidRPr="00D84E8C">
        <w:rPr>
          <w:color w:val="FF0000"/>
          <w:sz w:val="18"/>
          <w:szCs w:val="18"/>
        </w:rPr>
        <w:t>.</w:t>
      </w:r>
    </w:p>
    <w:p w14:paraId="5B415836" w14:textId="77777777" w:rsidR="00E82CFA" w:rsidRDefault="00E82CFA" w:rsidP="00E82CFA">
      <w:pPr>
        <w:pStyle w:val="Paragraph"/>
        <w:ind w:firstLine="0"/>
      </w:pPr>
    </w:p>
    <w:p w14:paraId="4E0C96B1" w14:textId="01C402B7" w:rsidR="00BF6D28" w:rsidRDefault="00BF6D28" w:rsidP="00BF6D28">
      <w:pPr>
        <w:pStyle w:val="Paragraph"/>
        <w:ind w:firstLine="0"/>
      </w:pPr>
      <w:r>
        <w:tab/>
        <w:t>The main structural aspect differentiat</w:t>
      </w:r>
      <w:r w:rsidR="00D810A6">
        <w:t>ing</w:t>
      </w:r>
      <w:r>
        <w:t xml:space="preserve"> C-TiC from other studied carbon material is the lack of graphitic ordering. Namely, the main difference lies in the 002 reflection</w:t>
      </w:r>
      <w:r w:rsidR="00D810A6">
        <w:t>s</w:t>
      </w:r>
      <w:r>
        <w:t xml:space="preserve"> in the X-ray diffraction patterns (Fig. 2), which is related to stacking of graphene layers.</w:t>
      </w:r>
    </w:p>
    <w:p w14:paraId="41FA9ED5" w14:textId="4D5CB1AD" w:rsidR="00BF6D28" w:rsidRPr="00BF6D28" w:rsidRDefault="00BF6D28" w:rsidP="00BF6D28">
      <w:pPr>
        <w:pStyle w:val="Paragraph"/>
        <w:ind w:firstLine="0"/>
      </w:pPr>
      <w:r>
        <w:tab/>
      </w:r>
      <w:r w:rsidRPr="00BF6D28">
        <w:t xml:space="preserve">The average stacking size, </w:t>
      </w:r>
      <w:r w:rsidRPr="00BF6D28">
        <w:rPr>
          <w:i/>
          <w:iCs/>
        </w:rPr>
        <w:t>L</w:t>
      </w:r>
      <w:r w:rsidRPr="00BF6D28">
        <w:rPr>
          <w:vertAlign w:val="subscript"/>
        </w:rPr>
        <w:t>c</w:t>
      </w:r>
      <w:r w:rsidRPr="00BF6D28">
        <w:t>, average interlayer spacing</w:t>
      </w:r>
      <w:r>
        <w:t xml:space="preserve">, </w:t>
      </w:r>
      <w:r w:rsidRPr="00562A2D">
        <w:rPr>
          <w:i/>
          <w:iCs/>
        </w:rPr>
        <w:t>a</w:t>
      </w:r>
      <w:r w:rsidRPr="00562A2D">
        <w:rPr>
          <w:vertAlign w:val="subscript"/>
        </w:rPr>
        <w:t>3</w:t>
      </w:r>
      <w:r>
        <w:t xml:space="preserve">, and the average graphene layer extent, </w:t>
      </w:r>
      <w:r w:rsidRPr="00562A2D">
        <w:rPr>
          <w:i/>
          <w:iCs/>
        </w:rPr>
        <w:t>L</w:t>
      </w:r>
      <w:r w:rsidRPr="00562A2D">
        <w:rPr>
          <w:vertAlign w:val="subscript"/>
        </w:rPr>
        <w:t>a</w:t>
      </w:r>
      <w:r>
        <w:t xml:space="preserve">, were estimated based on the X-ray </w:t>
      </w:r>
      <w:r w:rsidR="00950F3D">
        <w:t xml:space="preserve">diffraction </w:t>
      </w:r>
      <w:r>
        <w:t xml:space="preserve">patterns (Table </w:t>
      </w:r>
      <w:r w:rsidR="00D810A6">
        <w:t>3</w:t>
      </w:r>
      <w:r>
        <w:t>).</w:t>
      </w:r>
      <w:r w:rsidR="00FF5910">
        <w:t xml:space="preserve"> </w:t>
      </w:r>
      <w:bookmarkStart w:id="6" w:name="_Hlk139019810"/>
      <w:r w:rsidR="00FF5910" w:rsidRPr="00FF5910">
        <w:rPr>
          <w:color w:val="FF0000"/>
        </w:rPr>
        <w:t xml:space="preserve">The algorithm that was used for this analysis (See part </w:t>
      </w:r>
      <w:r w:rsidR="00FF5910">
        <w:rPr>
          <w:color w:val="FF0000"/>
        </w:rPr>
        <w:t>2) calculates</w:t>
      </w:r>
      <w:r w:rsidR="00FF5910" w:rsidRPr="00FF5910">
        <w:rPr>
          <w:color w:val="FF0000"/>
        </w:rPr>
        <w:t xml:space="preserve"> the</w:t>
      </w:r>
      <w:r w:rsidR="00FF5910">
        <w:rPr>
          <w:color w:val="FF0000"/>
        </w:rPr>
        <w:t xml:space="preserve"> </w:t>
      </w:r>
      <w:r w:rsidR="00FF5910" w:rsidRPr="00FF5910">
        <w:rPr>
          <w:i/>
          <w:iCs/>
          <w:color w:val="FF0000"/>
        </w:rPr>
        <w:t>L</w:t>
      </w:r>
      <w:r w:rsidR="00FF5910" w:rsidRPr="00FF5910">
        <w:rPr>
          <w:color w:val="FF0000"/>
          <w:vertAlign w:val="subscript"/>
        </w:rPr>
        <w:t>c</w:t>
      </w:r>
      <w:r w:rsidR="00FF5910">
        <w:rPr>
          <w:color w:val="FF0000"/>
        </w:rPr>
        <w:t xml:space="preserve"> and a</w:t>
      </w:r>
      <w:r w:rsidR="00FF5910" w:rsidRPr="00FF5910">
        <w:rPr>
          <w:color w:val="FF0000"/>
          <w:vertAlign w:val="subscript"/>
        </w:rPr>
        <w:t>3</w:t>
      </w:r>
      <w:r w:rsidR="00FF5910">
        <w:rPr>
          <w:color w:val="FF0000"/>
        </w:rPr>
        <w:t xml:space="preserve"> parameters based on the shape of the 002 reflection and the </w:t>
      </w:r>
      <w:r w:rsidR="00FF5910" w:rsidRPr="00FF5910">
        <w:rPr>
          <w:i/>
          <w:iCs/>
          <w:color w:val="FF0000"/>
        </w:rPr>
        <w:t>L</w:t>
      </w:r>
      <w:r w:rsidR="00FF5910" w:rsidRPr="00FF5910">
        <w:rPr>
          <w:color w:val="FF0000"/>
          <w:vertAlign w:val="subscript"/>
        </w:rPr>
        <w:t>a</w:t>
      </w:r>
      <w:r w:rsidR="00FF5910">
        <w:rPr>
          <w:color w:val="FF0000"/>
        </w:rPr>
        <w:t xml:space="preserve"> parameter from the shape of the 10 </w:t>
      </w:r>
      <w:proofErr w:type="gramStart"/>
      <w:r w:rsidR="00FF5910">
        <w:rPr>
          <w:color w:val="FF0000"/>
        </w:rPr>
        <w:t>reflection</w:t>
      </w:r>
      <w:proofErr w:type="gramEnd"/>
      <w:r w:rsidR="009720FE">
        <w:rPr>
          <w:color w:val="FF0000"/>
        </w:rPr>
        <w:t xml:space="preserve"> </w:t>
      </w:r>
      <w:r w:rsidR="003A3979">
        <w:rPr>
          <w:color w:val="FF0000"/>
        </w:rPr>
        <w:t>[12]</w:t>
      </w:r>
      <w:r w:rsidR="00FF5910">
        <w:rPr>
          <w:color w:val="FF0000"/>
        </w:rPr>
        <w:t xml:space="preserve">. </w:t>
      </w:r>
      <w:bookmarkEnd w:id="6"/>
      <w:r>
        <w:t>Based on these par</w:t>
      </w:r>
      <w:r w:rsidR="001B71A4">
        <w:t>a</w:t>
      </w:r>
      <w:r>
        <w:t xml:space="preserve">meters, the C-TiC material shows </w:t>
      </w:r>
      <w:r w:rsidR="00D810A6">
        <w:t>a more disordered structure compared</w:t>
      </w:r>
      <w:r>
        <w:t xml:space="preserve"> to the other investigated CDCs. </w:t>
      </w:r>
      <w:r w:rsidRPr="00724FD6">
        <w:rPr>
          <w:i/>
          <w:iCs/>
        </w:rPr>
        <w:t>L</w:t>
      </w:r>
      <w:r w:rsidRPr="00724FD6">
        <w:rPr>
          <w:vertAlign w:val="subscript"/>
        </w:rPr>
        <w:t>c</w:t>
      </w:r>
      <w:r>
        <w:t xml:space="preserve"> values show</w:t>
      </w:r>
      <w:r w:rsidR="00D810A6">
        <w:t xml:space="preserve"> </w:t>
      </w:r>
      <w:r>
        <w:t>the</w:t>
      </w:r>
      <w:r w:rsidR="00D810A6">
        <w:t xml:space="preserve"> mos</w:t>
      </w:r>
      <w:r w:rsidR="007A0540">
        <w:t>t</w:t>
      </w:r>
      <w:r w:rsidR="00D810A6">
        <w:t xml:space="preserve"> significant </w:t>
      </w:r>
      <w:r>
        <w:t xml:space="preserve">difference between the investigated materials, less than 1 nm for C-TiC and </w:t>
      </w:r>
      <w:r>
        <w:t xml:space="preserve">12.7 nm for C-SiC. Also, the </w:t>
      </w:r>
      <w:r w:rsidRPr="00724FD6">
        <w:rPr>
          <w:i/>
          <w:iCs/>
        </w:rPr>
        <w:t>L</w:t>
      </w:r>
      <w:r w:rsidRPr="00724FD6">
        <w:rPr>
          <w:vertAlign w:val="subscript"/>
        </w:rPr>
        <w:t>a</w:t>
      </w:r>
      <w:r>
        <w:t xml:space="preserve"> value is almost two times smaller compared to that of C-SiC and C-Mo</w:t>
      </w:r>
      <w:r w:rsidRPr="00B54655">
        <w:rPr>
          <w:vertAlign w:val="subscript"/>
        </w:rPr>
        <w:t>2</w:t>
      </w:r>
      <w:r>
        <w:t xml:space="preserve">C. </w:t>
      </w:r>
    </w:p>
    <w:p w14:paraId="7DA823D1" w14:textId="46AC28D2" w:rsidR="00BF6D28" w:rsidRDefault="00BF6D28" w:rsidP="001D4129">
      <w:pPr>
        <w:pStyle w:val="Paragraph"/>
        <w:ind w:firstLine="0"/>
      </w:pPr>
    </w:p>
    <w:p w14:paraId="36731544" w14:textId="77777777" w:rsidR="00BF6D28" w:rsidRDefault="00BF6D28" w:rsidP="00BF6D28">
      <w:pPr>
        <w:pStyle w:val="Paragraph"/>
        <w:ind w:firstLine="0"/>
      </w:pPr>
      <w:r w:rsidRPr="00634E0B">
        <w:rPr>
          <w:lang w:val="et-EE"/>
        </w:rPr>
        <w:object w:dxaOrig="6055" w:dyaOrig="4222" w14:anchorId="0D7C8933">
          <v:shape id="_x0000_i1026" type="#_x0000_t75" style="width:223.5pt;height:154.5pt" o:ole="">
            <v:imagedata r:id="rId11" o:title=""/>
          </v:shape>
          <o:OLEObject Type="Embed" ProgID="Origin50.Graph" ShapeID="_x0000_i1026" DrawAspect="Content" ObjectID="_1749888351" r:id="rId12"/>
        </w:object>
      </w:r>
    </w:p>
    <w:p w14:paraId="7803B3C8" w14:textId="77777777" w:rsidR="00BF6D28" w:rsidRDefault="00BF6D28" w:rsidP="00BF6D28">
      <w:pPr>
        <w:pStyle w:val="Paragraph"/>
        <w:ind w:firstLine="0"/>
        <w:rPr>
          <w:sz w:val="18"/>
          <w:szCs w:val="18"/>
        </w:rPr>
      </w:pPr>
      <w:r w:rsidRPr="000D5D33">
        <w:rPr>
          <w:b/>
          <w:bCs/>
          <w:sz w:val="18"/>
          <w:szCs w:val="18"/>
        </w:rPr>
        <w:t xml:space="preserve">Fig. </w:t>
      </w:r>
      <w:r>
        <w:rPr>
          <w:b/>
          <w:bCs/>
          <w:sz w:val="18"/>
          <w:szCs w:val="18"/>
        </w:rPr>
        <w:t>2</w:t>
      </w:r>
      <w:r w:rsidRPr="000D5D33">
        <w:rPr>
          <w:sz w:val="18"/>
          <w:szCs w:val="18"/>
        </w:rPr>
        <w:t xml:space="preserve">. </w:t>
      </w:r>
      <w:r>
        <w:rPr>
          <w:sz w:val="18"/>
          <w:szCs w:val="18"/>
        </w:rPr>
        <w:t>The X-ray diffraction patterns of studied materials (noted in Figure). The dashed lines represent the reflections along with their assignment.</w:t>
      </w:r>
    </w:p>
    <w:p w14:paraId="4114F6F1" w14:textId="77777777" w:rsidR="00BF6D28" w:rsidRDefault="00BF6D28" w:rsidP="00BF6D28">
      <w:pPr>
        <w:pStyle w:val="Paragraph"/>
        <w:ind w:firstLine="0"/>
      </w:pPr>
    </w:p>
    <w:p w14:paraId="5E9FA39E" w14:textId="15282C5F" w:rsidR="00BF6D28" w:rsidRPr="00036AC2" w:rsidRDefault="00BF6D28" w:rsidP="00800E46">
      <w:pPr>
        <w:pStyle w:val="TableCaption"/>
      </w:pPr>
      <w:r w:rsidRPr="00036AC2">
        <w:rPr>
          <w:b/>
          <w:bCs/>
        </w:rPr>
        <w:t xml:space="preserve">Table </w:t>
      </w:r>
      <w:r>
        <w:rPr>
          <w:b/>
          <w:bCs/>
        </w:rPr>
        <w:t>3</w:t>
      </w:r>
      <w:r w:rsidRPr="00036AC2">
        <w:rPr>
          <w:b/>
          <w:bCs/>
        </w:rPr>
        <w:t>.</w:t>
      </w:r>
      <w:r w:rsidRPr="00036AC2">
        <w:t xml:space="preserve"> </w:t>
      </w:r>
      <w:r>
        <w:t xml:space="preserve">Main structural parameters of CDCs calculated based on XRD patterns with Ruland and Smarsly algorithm </w:t>
      </w:r>
      <w:r w:rsidRPr="00724FD6">
        <w:rPr>
          <w:rFonts w:cs="Times"/>
        </w:rPr>
        <w:t>[12]</w:t>
      </w:r>
      <w:r>
        <w:t>.</w:t>
      </w:r>
    </w:p>
    <w:tbl>
      <w:tblPr>
        <w:tblW w:w="3114" w:type="dxa"/>
        <w:jc w:val="center"/>
        <w:tblLayout w:type="fixed"/>
        <w:tblLook w:val="0000" w:firstRow="0" w:lastRow="0" w:firstColumn="0" w:lastColumn="0" w:noHBand="0" w:noVBand="0"/>
      </w:tblPr>
      <w:tblGrid>
        <w:gridCol w:w="846"/>
        <w:gridCol w:w="709"/>
        <w:gridCol w:w="850"/>
        <w:gridCol w:w="709"/>
      </w:tblGrid>
      <w:tr w:rsidR="00BF6D28" w:rsidRPr="00036AC2" w14:paraId="7154AC9A" w14:textId="77777777" w:rsidTr="000044FA">
        <w:trPr>
          <w:trHeight w:val="567"/>
          <w:jc w:val="center"/>
        </w:trPr>
        <w:tc>
          <w:tcPr>
            <w:tcW w:w="846" w:type="dxa"/>
            <w:tcBorders>
              <w:top w:val="single" w:sz="4" w:space="0" w:color="000000"/>
              <w:left w:val="single" w:sz="4" w:space="0" w:color="000000"/>
              <w:bottom w:val="single" w:sz="4" w:space="0" w:color="000000"/>
            </w:tcBorders>
            <w:vAlign w:val="center"/>
          </w:tcPr>
          <w:p w14:paraId="2D54D2C5" w14:textId="77777777" w:rsidR="00BF6D28" w:rsidRPr="00036AC2" w:rsidRDefault="00BF6D28" w:rsidP="000044FA">
            <w:pPr>
              <w:pStyle w:val="TableHeadBold"/>
            </w:pPr>
            <w:r>
              <w:t xml:space="preserve">CDC </w:t>
            </w:r>
          </w:p>
        </w:tc>
        <w:tc>
          <w:tcPr>
            <w:tcW w:w="709" w:type="dxa"/>
            <w:tcBorders>
              <w:top w:val="single" w:sz="4" w:space="0" w:color="000000"/>
              <w:left w:val="single" w:sz="4" w:space="0" w:color="000000"/>
              <w:bottom w:val="single" w:sz="4" w:space="0" w:color="000000"/>
              <w:right w:val="single" w:sz="4" w:space="0" w:color="000000"/>
            </w:tcBorders>
            <w:vAlign w:val="center"/>
          </w:tcPr>
          <w:p w14:paraId="2A269866" w14:textId="77777777" w:rsidR="00BF6D28" w:rsidRPr="00036AC2" w:rsidRDefault="00BF6D28" w:rsidP="000044FA">
            <w:pPr>
              <w:pStyle w:val="TableHeadBold"/>
            </w:pPr>
            <w:r>
              <w:rPr>
                <w:i/>
                <w:iCs/>
              </w:rPr>
              <w:t>L</w:t>
            </w:r>
            <w:r w:rsidRPr="00CE13F9">
              <w:rPr>
                <w:vertAlign w:val="subscript"/>
              </w:rPr>
              <w:t>c</w:t>
            </w:r>
            <w:r>
              <w:br/>
              <w:t>nm</w:t>
            </w:r>
          </w:p>
        </w:tc>
        <w:tc>
          <w:tcPr>
            <w:tcW w:w="850" w:type="dxa"/>
            <w:tcBorders>
              <w:top w:val="single" w:sz="4" w:space="0" w:color="000000"/>
              <w:left w:val="single" w:sz="4" w:space="0" w:color="000000"/>
              <w:bottom w:val="single" w:sz="4" w:space="0" w:color="000000"/>
              <w:right w:val="single" w:sz="4" w:space="0" w:color="000000"/>
            </w:tcBorders>
            <w:vAlign w:val="center"/>
          </w:tcPr>
          <w:p w14:paraId="25B149D0" w14:textId="77777777" w:rsidR="00BF6D28" w:rsidRPr="00CE13F9" w:rsidRDefault="00BF6D28" w:rsidP="000044FA">
            <w:pPr>
              <w:pStyle w:val="TableHeadBold"/>
            </w:pPr>
            <w:r>
              <w:rPr>
                <w:i/>
                <w:iCs/>
              </w:rPr>
              <w:t>a</w:t>
            </w:r>
            <w:r>
              <w:rPr>
                <w:vertAlign w:val="subscript"/>
              </w:rPr>
              <w:t>3</w:t>
            </w:r>
            <w:r>
              <w:br/>
              <w:t>nm</w:t>
            </w:r>
          </w:p>
        </w:tc>
        <w:tc>
          <w:tcPr>
            <w:tcW w:w="709" w:type="dxa"/>
            <w:tcBorders>
              <w:top w:val="single" w:sz="4" w:space="0" w:color="000000"/>
              <w:left w:val="single" w:sz="4" w:space="0" w:color="000000"/>
              <w:bottom w:val="single" w:sz="4" w:space="0" w:color="000000"/>
              <w:right w:val="single" w:sz="4" w:space="0" w:color="000000"/>
            </w:tcBorders>
            <w:vAlign w:val="center"/>
          </w:tcPr>
          <w:p w14:paraId="1D69725A" w14:textId="77777777" w:rsidR="00BF6D28" w:rsidRDefault="00BF6D28" w:rsidP="000044FA">
            <w:pPr>
              <w:pStyle w:val="TableHeadBold"/>
              <w:rPr>
                <w:i/>
                <w:iCs/>
              </w:rPr>
            </w:pPr>
            <w:r>
              <w:rPr>
                <w:i/>
                <w:iCs/>
              </w:rPr>
              <w:t>L</w:t>
            </w:r>
            <w:r w:rsidRPr="00CE13F9">
              <w:rPr>
                <w:vertAlign w:val="subscript"/>
              </w:rPr>
              <w:t>a</w:t>
            </w:r>
            <w:r>
              <w:t xml:space="preserve"> </w:t>
            </w:r>
            <w:r>
              <w:br/>
            </w:r>
            <w:r w:rsidRPr="00CE13F9">
              <w:t>nm</w:t>
            </w:r>
          </w:p>
        </w:tc>
      </w:tr>
      <w:tr w:rsidR="00BF6D28" w:rsidRPr="00036AC2" w14:paraId="72134ACC" w14:textId="77777777" w:rsidTr="000044FA">
        <w:trPr>
          <w:trHeight w:val="567"/>
          <w:jc w:val="center"/>
        </w:trPr>
        <w:tc>
          <w:tcPr>
            <w:tcW w:w="846" w:type="dxa"/>
            <w:tcBorders>
              <w:top w:val="single" w:sz="4" w:space="0" w:color="000000"/>
              <w:left w:val="single" w:sz="4" w:space="0" w:color="000000"/>
              <w:bottom w:val="single" w:sz="4" w:space="0" w:color="000000"/>
            </w:tcBorders>
            <w:vAlign w:val="center"/>
          </w:tcPr>
          <w:p w14:paraId="586E7BD7" w14:textId="77777777" w:rsidR="00BF6D28" w:rsidRPr="00036AC2" w:rsidRDefault="00BF6D28" w:rsidP="000044FA">
            <w:pPr>
              <w:pStyle w:val="Tablecontent"/>
            </w:pPr>
            <w:r>
              <w:t>C-TiC</w:t>
            </w:r>
          </w:p>
        </w:tc>
        <w:tc>
          <w:tcPr>
            <w:tcW w:w="709" w:type="dxa"/>
            <w:tcBorders>
              <w:top w:val="single" w:sz="4" w:space="0" w:color="000000"/>
              <w:left w:val="single" w:sz="4" w:space="0" w:color="000000"/>
              <w:bottom w:val="single" w:sz="4" w:space="0" w:color="000000"/>
              <w:right w:val="single" w:sz="4" w:space="0" w:color="000000"/>
            </w:tcBorders>
            <w:vAlign w:val="center"/>
          </w:tcPr>
          <w:p w14:paraId="2191D687" w14:textId="77777777" w:rsidR="00BF6D28" w:rsidRPr="00884C68" w:rsidRDefault="00BF6D28" w:rsidP="000044FA">
            <w:pPr>
              <w:pStyle w:val="Tablecontent"/>
            </w:pPr>
            <w:r w:rsidRPr="00884C68">
              <w:t>0.6</w:t>
            </w:r>
          </w:p>
        </w:tc>
        <w:tc>
          <w:tcPr>
            <w:tcW w:w="850" w:type="dxa"/>
            <w:tcBorders>
              <w:top w:val="single" w:sz="4" w:space="0" w:color="000000"/>
              <w:left w:val="single" w:sz="4" w:space="0" w:color="000000"/>
              <w:bottom w:val="single" w:sz="4" w:space="0" w:color="000000"/>
              <w:right w:val="single" w:sz="4" w:space="0" w:color="000000"/>
            </w:tcBorders>
            <w:vAlign w:val="center"/>
          </w:tcPr>
          <w:p w14:paraId="72DFB056" w14:textId="086DC2B7" w:rsidR="00BF6D28" w:rsidRPr="00884C68" w:rsidRDefault="00950F3D" w:rsidP="000044FA">
            <w:pPr>
              <w:pStyle w:val="Tablecontent"/>
            </w:pPr>
            <w:r>
              <w:t>0.38</w:t>
            </w:r>
          </w:p>
        </w:tc>
        <w:tc>
          <w:tcPr>
            <w:tcW w:w="709" w:type="dxa"/>
            <w:tcBorders>
              <w:top w:val="single" w:sz="4" w:space="0" w:color="000000"/>
              <w:left w:val="single" w:sz="4" w:space="0" w:color="000000"/>
              <w:bottom w:val="single" w:sz="4" w:space="0" w:color="000000"/>
              <w:right w:val="single" w:sz="4" w:space="0" w:color="000000"/>
            </w:tcBorders>
            <w:vAlign w:val="center"/>
          </w:tcPr>
          <w:p w14:paraId="0A7CD565" w14:textId="77777777" w:rsidR="00BF6D28" w:rsidRPr="00884C68" w:rsidRDefault="00BF6D28" w:rsidP="000044FA">
            <w:pPr>
              <w:pStyle w:val="Tablecontent"/>
            </w:pPr>
            <w:r w:rsidRPr="00884C68">
              <w:t>4.5</w:t>
            </w:r>
          </w:p>
        </w:tc>
      </w:tr>
      <w:tr w:rsidR="00BF6D28" w:rsidRPr="00036AC2" w14:paraId="1891D51F" w14:textId="77777777" w:rsidTr="000044FA">
        <w:trPr>
          <w:trHeight w:val="567"/>
          <w:jc w:val="center"/>
        </w:trPr>
        <w:tc>
          <w:tcPr>
            <w:tcW w:w="846" w:type="dxa"/>
            <w:tcBorders>
              <w:top w:val="single" w:sz="4" w:space="0" w:color="000000"/>
              <w:left w:val="single" w:sz="4" w:space="0" w:color="000000"/>
              <w:bottom w:val="single" w:sz="4" w:space="0" w:color="000000"/>
            </w:tcBorders>
            <w:vAlign w:val="center"/>
          </w:tcPr>
          <w:p w14:paraId="69295C68" w14:textId="77777777" w:rsidR="00BF6D28" w:rsidRPr="00036AC2" w:rsidRDefault="00BF6D28" w:rsidP="000044FA">
            <w:pPr>
              <w:pStyle w:val="Tablecontent"/>
            </w:pPr>
            <w:r>
              <w:t>C-SiC</w:t>
            </w:r>
          </w:p>
        </w:tc>
        <w:tc>
          <w:tcPr>
            <w:tcW w:w="709" w:type="dxa"/>
            <w:tcBorders>
              <w:top w:val="single" w:sz="4" w:space="0" w:color="000000"/>
              <w:left w:val="single" w:sz="4" w:space="0" w:color="000000"/>
              <w:bottom w:val="single" w:sz="4" w:space="0" w:color="000000"/>
              <w:right w:val="single" w:sz="4" w:space="0" w:color="000000"/>
            </w:tcBorders>
            <w:vAlign w:val="center"/>
          </w:tcPr>
          <w:p w14:paraId="72CAFBFD" w14:textId="77777777" w:rsidR="00BF6D28" w:rsidRPr="00036AC2" w:rsidRDefault="00BF6D28" w:rsidP="000044FA">
            <w:pPr>
              <w:pStyle w:val="Tablecontent"/>
            </w:pPr>
            <w:r w:rsidRPr="00CE13F9">
              <w:t>12</w:t>
            </w:r>
            <w:r>
              <w:t>.7</w:t>
            </w:r>
          </w:p>
        </w:tc>
        <w:tc>
          <w:tcPr>
            <w:tcW w:w="850" w:type="dxa"/>
            <w:tcBorders>
              <w:top w:val="single" w:sz="4" w:space="0" w:color="000000"/>
              <w:left w:val="single" w:sz="4" w:space="0" w:color="000000"/>
              <w:bottom w:val="single" w:sz="4" w:space="0" w:color="000000"/>
              <w:right w:val="single" w:sz="4" w:space="0" w:color="000000"/>
            </w:tcBorders>
            <w:vAlign w:val="center"/>
          </w:tcPr>
          <w:p w14:paraId="7031FC90" w14:textId="2422D65A" w:rsidR="00BF6D28" w:rsidRDefault="00950F3D" w:rsidP="000044FA">
            <w:pPr>
              <w:pStyle w:val="Tablecontent"/>
            </w:pPr>
            <w:r>
              <w:t>0.36</w:t>
            </w:r>
          </w:p>
        </w:tc>
        <w:tc>
          <w:tcPr>
            <w:tcW w:w="709" w:type="dxa"/>
            <w:tcBorders>
              <w:top w:val="single" w:sz="4" w:space="0" w:color="000000"/>
              <w:left w:val="single" w:sz="4" w:space="0" w:color="000000"/>
              <w:bottom w:val="single" w:sz="4" w:space="0" w:color="000000"/>
              <w:right w:val="single" w:sz="4" w:space="0" w:color="000000"/>
            </w:tcBorders>
            <w:vAlign w:val="center"/>
          </w:tcPr>
          <w:p w14:paraId="48B310A1" w14:textId="77777777" w:rsidR="00BF6D28" w:rsidRDefault="00BF6D28" w:rsidP="000044FA">
            <w:pPr>
              <w:pStyle w:val="Tablecontent"/>
            </w:pPr>
            <w:r w:rsidRPr="00CE13F9">
              <w:t>7</w:t>
            </w:r>
            <w:r>
              <w:t>.</w:t>
            </w:r>
            <w:r w:rsidRPr="00CE13F9">
              <w:t>1</w:t>
            </w:r>
          </w:p>
        </w:tc>
      </w:tr>
      <w:tr w:rsidR="00BF6D28" w:rsidRPr="00036AC2" w14:paraId="3F87974C" w14:textId="77777777" w:rsidTr="000044FA">
        <w:trPr>
          <w:trHeight w:val="567"/>
          <w:jc w:val="center"/>
        </w:trPr>
        <w:tc>
          <w:tcPr>
            <w:tcW w:w="846" w:type="dxa"/>
            <w:tcBorders>
              <w:top w:val="single" w:sz="4" w:space="0" w:color="000000"/>
              <w:left w:val="single" w:sz="4" w:space="0" w:color="000000"/>
              <w:bottom w:val="single" w:sz="4" w:space="0" w:color="000000"/>
            </w:tcBorders>
            <w:vAlign w:val="center"/>
          </w:tcPr>
          <w:p w14:paraId="2DA9B791" w14:textId="77777777" w:rsidR="00BF6D28" w:rsidRPr="00036AC2" w:rsidRDefault="00BF6D28" w:rsidP="000044FA">
            <w:pPr>
              <w:pStyle w:val="Tablecontent"/>
            </w:pPr>
            <w:r>
              <w:t>C-Mo</w:t>
            </w:r>
            <w:r w:rsidRPr="00B15EA5">
              <w:rPr>
                <w:vertAlign w:val="subscript"/>
              </w:rPr>
              <w:t>2</w:t>
            </w:r>
            <w:r>
              <w:t>C</w:t>
            </w:r>
          </w:p>
        </w:tc>
        <w:tc>
          <w:tcPr>
            <w:tcW w:w="709" w:type="dxa"/>
            <w:tcBorders>
              <w:top w:val="single" w:sz="4" w:space="0" w:color="000000"/>
              <w:left w:val="single" w:sz="4" w:space="0" w:color="000000"/>
              <w:bottom w:val="single" w:sz="4" w:space="0" w:color="000000"/>
              <w:right w:val="single" w:sz="4" w:space="0" w:color="000000"/>
            </w:tcBorders>
            <w:vAlign w:val="center"/>
          </w:tcPr>
          <w:p w14:paraId="62F3FD15" w14:textId="77777777" w:rsidR="00BF6D28" w:rsidRPr="00036AC2" w:rsidRDefault="00BF6D28" w:rsidP="000044FA">
            <w:pPr>
              <w:pStyle w:val="Tablecontent"/>
            </w:pPr>
            <w:r w:rsidRPr="00CE13F9">
              <w:t>2</w:t>
            </w:r>
            <w:r>
              <w:t>.7</w:t>
            </w:r>
          </w:p>
        </w:tc>
        <w:tc>
          <w:tcPr>
            <w:tcW w:w="850" w:type="dxa"/>
            <w:tcBorders>
              <w:top w:val="single" w:sz="4" w:space="0" w:color="000000"/>
              <w:left w:val="single" w:sz="4" w:space="0" w:color="000000"/>
              <w:bottom w:val="single" w:sz="4" w:space="0" w:color="000000"/>
              <w:right w:val="single" w:sz="4" w:space="0" w:color="000000"/>
            </w:tcBorders>
            <w:vAlign w:val="center"/>
          </w:tcPr>
          <w:p w14:paraId="4540EC70" w14:textId="1DFF8516" w:rsidR="00BF6D28" w:rsidRDefault="00950F3D" w:rsidP="000044FA">
            <w:pPr>
              <w:pStyle w:val="Tablecontent"/>
            </w:pPr>
            <w:r>
              <w:t>0.35</w:t>
            </w:r>
          </w:p>
        </w:tc>
        <w:tc>
          <w:tcPr>
            <w:tcW w:w="709" w:type="dxa"/>
            <w:tcBorders>
              <w:top w:val="single" w:sz="4" w:space="0" w:color="000000"/>
              <w:left w:val="single" w:sz="4" w:space="0" w:color="000000"/>
              <w:bottom w:val="single" w:sz="4" w:space="0" w:color="000000"/>
              <w:right w:val="single" w:sz="4" w:space="0" w:color="000000"/>
            </w:tcBorders>
            <w:vAlign w:val="center"/>
          </w:tcPr>
          <w:p w14:paraId="66BB6E69" w14:textId="77777777" w:rsidR="00BF6D28" w:rsidRDefault="00BF6D28" w:rsidP="000044FA">
            <w:pPr>
              <w:pStyle w:val="Tablecontent"/>
            </w:pPr>
            <w:r w:rsidRPr="00CE13F9">
              <w:t>8</w:t>
            </w:r>
            <w:r>
              <w:t>.</w:t>
            </w:r>
            <w:r w:rsidRPr="00CE13F9">
              <w:t>3</w:t>
            </w:r>
          </w:p>
        </w:tc>
      </w:tr>
    </w:tbl>
    <w:p w14:paraId="4FC420B1" w14:textId="77777777" w:rsidR="00BF6D28" w:rsidRDefault="00BF6D28" w:rsidP="00BF6D28">
      <w:pPr>
        <w:pStyle w:val="Paragraph"/>
        <w:ind w:firstLine="0"/>
      </w:pPr>
    </w:p>
    <w:p w14:paraId="3226F739" w14:textId="7B1E3695" w:rsidR="00BF6D28" w:rsidRPr="00BF6D28" w:rsidRDefault="00BF6D28" w:rsidP="00BF6D28">
      <w:pPr>
        <w:pStyle w:val="Paragraph"/>
        <w:ind w:firstLine="0"/>
        <w:rPr>
          <w:sz w:val="18"/>
          <w:szCs w:val="18"/>
        </w:rPr>
      </w:pPr>
      <w:r w:rsidRPr="00BF6D28">
        <w:rPr>
          <w:i/>
          <w:iCs/>
          <w:sz w:val="18"/>
          <w:szCs w:val="18"/>
        </w:rPr>
        <w:t>L</w:t>
      </w:r>
      <w:r w:rsidRPr="00BF6D28">
        <w:rPr>
          <w:sz w:val="18"/>
          <w:szCs w:val="18"/>
          <w:vertAlign w:val="subscript"/>
        </w:rPr>
        <w:t>c</w:t>
      </w:r>
      <w:r w:rsidRPr="00BF6D28">
        <w:rPr>
          <w:sz w:val="18"/>
          <w:szCs w:val="18"/>
        </w:rPr>
        <w:t xml:space="preserve"> - average stacking size, </w:t>
      </w:r>
      <w:r w:rsidRPr="00BF6D28">
        <w:rPr>
          <w:i/>
          <w:iCs/>
          <w:sz w:val="18"/>
          <w:szCs w:val="18"/>
        </w:rPr>
        <w:t>a</w:t>
      </w:r>
      <w:r w:rsidRPr="00BF6D28">
        <w:rPr>
          <w:sz w:val="18"/>
          <w:szCs w:val="18"/>
          <w:vertAlign w:val="subscript"/>
        </w:rPr>
        <w:t>3 -</w:t>
      </w:r>
      <w:r w:rsidRPr="00BF6D28">
        <w:rPr>
          <w:sz w:val="18"/>
          <w:szCs w:val="18"/>
        </w:rPr>
        <w:t xml:space="preserve"> average interlayer spacing, </w:t>
      </w:r>
      <w:r w:rsidRPr="00BF6D28">
        <w:rPr>
          <w:i/>
          <w:iCs/>
          <w:sz w:val="18"/>
          <w:szCs w:val="18"/>
        </w:rPr>
        <w:t>L</w:t>
      </w:r>
      <w:r w:rsidRPr="00BF6D28">
        <w:rPr>
          <w:sz w:val="18"/>
          <w:szCs w:val="18"/>
          <w:vertAlign w:val="subscript"/>
        </w:rPr>
        <w:t>a</w:t>
      </w:r>
      <w:r w:rsidRPr="00BF6D28">
        <w:rPr>
          <w:sz w:val="18"/>
          <w:szCs w:val="18"/>
        </w:rPr>
        <w:t>,  average graphene layer extent</w:t>
      </w:r>
    </w:p>
    <w:p w14:paraId="6B3203B9" w14:textId="77777777" w:rsidR="00BF6D28" w:rsidRDefault="00BF6D28" w:rsidP="00E82CFA">
      <w:pPr>
        <w:pStyle w:val="Paragraph"/>
        <w:ind w:firstLine="0"/>
      </w:pPr>
    </w:p>
    <w:p w14:paraId="3A48947E" w14:textId="7EEA03BA" w:rsidR="00724FD6" w:rsidRDefault="002F5860" w:rsidP="00BF6D28">
      <w:pPr>
        <w:pStyle w:val="Paragraph"/>
      </w:pPr>
      <w:r>
        <w:t>I</w:t>
      </w:r>
      <w:r w:rsidR="00A72272">
        <w:t xml:space="preserve">n this study, </w:t>
      </w:r>
      <w:r w:rsidR="00D40341">
        <w:t>a normal mixture of ort</w:t>
      </w:r>
      <w:r w:rsidR="006410FA">
        <w:t>h</w:t>
      </w:r>
      <w:r w:rsidR="00D40341">
        <w:t>o</w:t>
      </w:r>
      <w:r w:rsidR="00A72272">
        <w:t xml:space="preserve"> and </w:t>
      </w:r>
      <w:r w:rsidR="00D40341">
        <w:t>para hydrogen was dosed in</w:t>
      </w:r>
      <w:r w:rsidR="005A105D">
        <w:t>to</w:t>
      </w:r>
      <w:r w:rsidR="00D40341">
        <w:t xml:space="preserve"> the carbon</w:t>
      </w:r>
      <w:r w:rsidR="00FF0627">
        <w:t xml:space="preserve"> at 77 K</w:t>
      </w:r>
      <w:r w:rsidR="00A72272">
        <w:t>, i.e. the ratio of ortho to para H</w:t>
      </w:r>
      <w:r w:rsidR="00A72272" w:rsidRPr="00A72272">
        <w:rPr>
          <w:vertAlign w:val="subscript"/>
        </w:rPr>
        <w:t>2</w:t>
      </w:r>
      <w:r w:rsidR="00A72272">
        <w:t xml:space="preserve"> correspond</w:t>
      </w:r>
      <w:r w:rsidR="00FF0627">
        <w:t>ed</w:t>
      </w:r>
      <w:r w:rsidR="00A72272">
        <w:t xml:space="preserve"> to 3:1</w:t>
      </w:r>
      <w:r w:rsidR="00D40341">
        <w:t>.</w:t>
      </w:r>
      <w:r w:rsidR="004D1388">
        <w:t xml:space="preserve"> </w:t>
      </w:r>
      <w:r w:rsidR="00B43832" w:rsidRPr="00B43832">
        <w:rPr>
          <w:color w:val="FF0000"/>
        </w:rPr>
        <w:t xml:space="preserve">If by the time of measurement, there was </w:t>
      </w:r>
      <w:r w:rsidR="006E3D11">
        <w:rPr>
          <w:color w:val="FF0000"/>
        </w:rPr>
        <w:t xml:space="preserve">a negligible amount of </w:t>
      </w:r>
      <w:r w:rsidR="00B43832" w:rsidRPr="00B43832">
        <w:rPr>
          <w:color w:val="FF0000"/>
        </w:rPr>
        <w:t>ortho-H</w:t>
      </w:r>
      <w:r w:rsidR="00B43832" w:rsidRPr="00DA7C0B">
        <w:rPr>
          <w:color w:val="FF0000"/>
          <w:vertAlign w:val="subscript"/>
        </w:rPr>
        <w:t>2</w:t>
      </w:r>
      <w:r w:rsidR="00B43832" w:rsidRPr="00B43832">
        <w:rPr>
          <w:color w:val="FF0000"/>
        </w:rPr>
        <w:t xml:space="preserve"> in the carbon, also the </w:t>
      </w:r>
      <w:r w:rsidRPr="00B43832">
        <w:rPr>
          <w:color w:val="FF0000"/>
        </w:rPr>
        <w:t>ortho</w:t>
      </w:r>
      <w:r w:rsidR="004D1388" w:rsidRPr="00B43832">
        <w:rPr>
          <w:color w:val="FF0000"/>
        </w:rPr>
        <w:t>-</w:t>
      </w:r>
      <w:r w:rsidR="00D810A6" w:rsidRPr="00B43832">
        <w:rPr>
          <w:color w:val="FF0000"/>
        </w:rPr>
        <w:t xml:space="preserve">para transition band </w:t>
      </w:r>
      <w:r w:rsidR="00B43832" w:rsidRPr="00B43832">
        <w:rPr>
          <w:color w:val="FF0000"/>
        </w:rPr>
        <w:t xml:space="preserve">would not be visible as seen for </w:t>
      </w:r>
      <w:r w:rsidR="00D810A6" w:rsidRPr="00B43832">
        <w:rPr>
          <w:color w:val="FF0000"/>
        </w:rPr>
        <w:t>C-SiC and C-Mo</w:t>
      </w:r>
      <w:r w:rsidR="00D810A6" w:rsidRPr="00B43832">
        <w:rPr>
          <w:color w:val="FF0000"/>
          <w:vertAlign w:val="subscript"/>
        </w:rPr>
        <w:t>2</w:t>
      </w:r>
      <w:r w:rsidR="00D810A6" w:rsidRPr="00B43832">
        <w:rPr>
          <w:color w:val="FF0000"/>
        </w:rPr>
        <w:t>C</w:t>
      </w:r>
      <w:r w:rsidR="00FF0627" w:rsidRPr="00B43832">
        <w:t>.</w:t>
      </w:r>
      <w:r w:rsidR="00FF0627">
        <w:t xml:space="preserve"> </w:t>
      </w:r>
      <w:r w:rsidR="006E3D11" w:rsidRPr="006E3D11">
        <w:rPr>
          <w:color w:val="FF0000"/>
        </w:rPr>
        <w:t>Namely, a</w:t>
      </w:r>
      <w:r w:rsidR="00A72272" w:rsidRPr="006E3D11">
        <w:rPr>
          <w:color w:val="FF0000"/>
        </w:rPr>
        <w:t xml:space="preserve">t </w:t>
      </w:r>
      <w:r w:rsidR="00A72272">
        <w:t>low temperatures (&lt;</w:t>
      </w:r>
      <w:r w:rsidR="008C03E4">
        <w:t>80 </w:t>
      </w:r>
      <w:r w:rsidR="00A72272">
        <w:t>K), the</w:t>
      </w:r>
      <w:r w:rsidR="00586EEE">
        <w:t xml:space="preserve"> thermodynamically more stable</w:t>
      </w:r>
      <w:r w:rsidR="00A72272">
        <w:t xml:space="preserve"> para form should become prevalent</w:t>
      </w:r>
      <w:r w:rsidR="00FF0627">
        <w:t>, but</w:t>
      </w:r>
      <w:r w:rsidR="00A72272">
        <w:t xml:space="preserve"> the </w:t>
      </w:r>
      <w:r w:rsidR="00D810A6">
        <w:t xml:space="preserve">carbon’s structure influences the </w:t>
      </w:r>
      <w:r w:rsidR="00A72272">
        <w:t xml:space="preserve">kinetics of the </w:t>
      </w:r>
      <w:r w:rsidR="00A72272" w:rsidRPr="00D918FF">
        <w:rPr>
          <w:color w:val="000000" w:themeColor="text1"/>
        </w:rPr>
        <w:t xml:space="preserve">transition </w:t>
      </w:r>
      <w:r w:rsidR="00066703" w:rsidRPr="00D918FF">
        <w:rPr>
          <w:color w:val="000000" w:themeColor="text1"/>
        </w:rPr>
        <w:t xml:space="preserve">from </w:t>
      </w:r>
      <w:r w:rsidR="00586EEE" w:rsidRPr="00D918FF">
        <w:rPr>
          <w:color w:val="000000" w:themeColor="text1"/>
        </w:rPr>
        <w:t>o</w:t>
      </w:r>
      <w:r w:rsidR="00586EEE" w:rsidRPr="00D918FF">
        <w:rPr>
          <w:rFonts w:ascii="Arial" w:hAnsi="Arial" w:cs="Arial"/>
          <w:color w:val="000000" w:themeColor="text1"/>
        </w:rPr>
        <w:t>→</w:t>
      </w:r>
      <w:r w:rsidR="00586EEE" w:rsidRPr="00D918FF">
        <w:rPr>
          <w:color w:val="000000" w:themeColor="text1"/>
        </w:rPr>
        <w:t>p</w:t>
      </w:r>
      <w:r w:rsidR="00A72272" w:rsidRPr="00D918FF">
        <w:rPr>
          <w:color w:val="000000" w:themeColor="text1"/>
        </w:rPr>
        <w:t xml:space="preserve">. </w:t>
      </w:r>
      <w:r w:rsidR="00586EEE" w:rsidRPr="00D918FF">
        <w:rPr>
          <w:color w:val="000000" w:themeColor="text1"/>
        </w:rPr>
        <w:t xml:space="preserve">It has been shown that </w:t>
      </w:r>
      <w:r w:rsidRPr="00D918FF">
        <w:rPr>
          <w:color w:val="000000" w:themeColor="text1"/>
        </w:rPr>
        <w:t xml:space="preserve">depending on the carbon material, </w:t>
      </w:r>
      <w:r w:rsidR="00586EEE" w:rsidRPr="00D918FF">
        <w:rPr>
          <w:color w:val="000000" w:themeColor="text1"/>
        </w:rPr>
        <w:t>the o</w:t>
      </w:r>
      <w:r w:rsidR="00586EEE" w:rsidRPr="00D918FF">
        <w:rPr>
          <w:rFonts w:ascii="Arial" w:hAnsi="Arial" w:cs="Arial"/>
          <w:color w:val="000000" w:themeColor="text1"/>
        </w:rPr>
        <w:t>→</w:t>
      </w:r>
      <w:r w:rsidR="00586EEE" w:rsidRPr="00D918FF">
        <w:rPr>
          <w:color w:val="000000" w:themeColor="text1"/>
        </w:rPr>
        <w:t xml:space="preserve">p transition </w:t>
      </w:r>
      <w:r w:rsidR="007566F1" w:rsidRPr="00D918FF">
        <w:rPr>
          <w:color w:val="000000" w:themeColor="text1"/>
        </w:rPr>
        <w:t>can be as slow as 0.4%</w:t>
      </w:r>
      <w:r w:rsidR="00293881" w:rsidRPr="00D918FF">
        <w:rPr>
          <w:color w:val="000000" w:themeColor="text1"/>
        </w:rPr>
        <w:t> h</w:t>
      </w:r>
      <w:r w:rsidR="00293881" w:rsidRPr="00D918FF">
        <w:rPr>
          <w:rFonts w:ascii="Symbol" w:hAnsi="Symbol"/>
          <w:color w:val="000000" w:themeColor="text1"/>
          <w:vertAlign w:val="superscript"/>
        </w:rPr>
        <w:t>-</w:t>
      </w:r>
      <w:r w:rsidR="00293881" w:rsidRPr="00D918FF">
        <w:rPr>
          <w:color w:val="000000" w:themeColor="text1"/>
          <w:vertAlign w:val="superscript"/>
        </w:rPr>
        <w:t>1</w:t>
      </w:r>
      <w:r w:rsidRPr="00D918FF">
        <w:rPr>
          <w:color w:val="000000" w:themeColor="text1"/>
        </w:rPr>
        <w:t xml:space="preserve"> </w:t>
      </w:r>
      <w:r w:rsidR="008C03E4" w:rsidRPr="00D918FF">
        <w:rPr>
          <w:rFonts w:cs="Times"/>
          <w:color w:val="000000" w:themeColor="text1"/>
        </w:rPr>
        <w:t>[23]</w:t>
      </w:r>
      <w:r w:rsidRPr="00D918FF">
        <w:rPr>
          <w:color w:val="000000" w:themeColor="text1"/>
        </w:rPr>
        <w:t xml:space="preserve"> or as fast as ~140%</w:t>
      </w:r>
      <w:r w:rsidR="00293881" w:rsidRPr="00D918FF">
        <w:rPr>
          <w:color w:val="000000" w:themeColor="text1"/>
        </w:rPr>
        <w:t> h</w:t>
      </w:r>
      <w:r w:rsidR="00293881" w:rsidRPr="00D918FF">
        <w:rPr>
          <w:rFonts w:ascii="Symbol" w:hAnsi="Symbol"/>
          <w:color w:val="000000" w:themeColor="text1"/>
          <w:vertAlign w:val="superscript"/>
        </w:rPr>
        <w:t>-</w:t>
      </w:r>
      <w:r w:rsidR="00293881" w:rsidRPr="00D918FF">
        <w:rPr>
          <w:color w:val="000000" w:themeColor="text1"/>
          <w:vertAlign w:val="superscript"/>
        </w:rPr>
        <w:t>1</w:t>
      </w:r>
      <w:r w:rsidRPr="00D918FF">
        <w:rPr>
          <w:color w:val="000000" w:themeColor="text1"/>
        </w:rPr>
        <w:t xml:space="preserve">. </w:t>
      </w:r>
      <w:r w:rsidR="008C03E4" w:rsidRPr="00D918FF">
        <w:rPr>
          <w:rFonts w:cs="Times"/>
          <w:color w:val="000000" w:themeColor="text1"/>
        </w:rPr>
        <w:t xml:space="preserve">[24] </w:t>
      </w:r>
      <w:r w:rsidRPr="00D918FF">
        <w:rPr>
          <w:color w:val="000000" w:themeColor="text1"/>
        </w:rPr>
        <w:t xml:space="preserve">This difference has been attributed </w:t>
      </w:r>
      <w:r>
        <w:t>to paramagnetic sites at the edges of graphitic planes, which can catalyse the o</w:t>
      </w:r>
      <w:r w:rsidRPr="00382D8E">
        <w:rPr>
          <w:rFonts w:ascii="Arial" w:hAnsi="Arial" w:cs="Arial"/>
        </w:rPr>
        <w:t>→</w:t>
      </w:r>
      <w:r>
        <w:t>p transition.</w:t>
      </w:r>
      <w:r w:rsidR="008A07E0">
        <w:t xml:space="preserve"> </w:t>
      </w:r>
    </w:p>
    <w:p w14:paraId="13A16B39" w14:textId="266E8B1C" w:rsidR="00B54655" w:rsidRDefault="002F5860" w:rsidP="00B54655">
      <w:pPr>
        <w:pStyle w:val="Paragraph"/>
        <w:ind w:firstLine="0"/>
        <w:rPr>
          <w:sz w:val="18"/>
          <w:szCs w:val="18"/>
        </w:rPr>
      </w:pPr>
      <w:r>
        <w:tab/>
      </w:r>
      <w:r w:rsidR="00B54655">
        <w:t xml:space="preserve">Therefore, since C-TiC is the most disordered, it </w:t>
      </w:r>
      <w:r>
        <w:t xml:space="preserve">should </w:t>
      </w:r>
      <w:r w:rsidR="00B54655">
        <w:t>contain more edges, defects</w:t>
      </w:r>
      <w:r w:rsidR="00B55728">
        <w:t>,</w:t>
      </w:r>
      <w:r w:rsidR="00B54655">
        <w:t xml:space="preserve"> etc.</w:t>
      </w:r>
      <w:r w:rsidR="00B55728">
        <w:t>,</w:t>
      </w:r>
      <w:r w:rsidR="00B54655">
        <w:t xml:space="preserve"> which can catalyse the o</w:t>
      </w:r>
      <w:r w:rsidR="00B54655" w:rsidRPr="00382D8E">
        <w:rPr>
          <w:rFonts w:ascii="Arial" w:hAnsi="Arial" w:cs="Arial"/>
        </w:rPr>
        <w:t>→</w:t>
      </w:r>
      <w:r w:rsidR="00B54655">
        <w:t xml:space="preserve">p transition. </w:t>
      </w:r>
      <w:r>
        <w:t>However, since no o</w:t>
      </w:r>
      <w:r w:rsidRPr="00382D8E">
        <w:rPr>
          <w:rFonts w:ascii="Arial" w:hAnsi="Arial" w:cs="Arial"/>
        </w:rPr>
        <w:t>→</w:t>
      </w:r>
      <w:r>
        <w:t xml:space="preserve">p transition was seen in the </w:t>
      </w:r>
      <w:r w:rsidR="00B54655">
        <w:t>more graphitic C-SiC and C-Mo</w:t>
      </w:r>
      <w:r w:rsidR="00B54655" w:rsidRPr="00B54655">
        <w:rPr>
          <w:vertAlign w:val="subscript"/>
        </w:rPr>
        <w:t>2</w:t>
      </w:r>
      <w:r w:rsidR="00B54655">
        <w:t>C</w:t>
      </w:r>
      <w:r>
        <w:t xml:space="preserve"> at 10 K,</w:t>
      </w:r>
      <w:r w:rsidR="00B54655">
        <w:t xml:space="preserve"> the o</w:t>
      </w:r>
      <w:r w:rsidR="00B54655" w:rsidRPr="00382D8E">
        <w:rPr>
          <w:rFonts w:ascii="Arial" w:hAnsi="Arial" w:cs="Arial"/>
        </w:rPr>
        <w:t>→</w:t>
      </w:r>
      <w:r w:rsidR="00B54655">
        <w:t xml:space="preserve">p conversion </w:t>
      </w:r>
      <w:r>
        <w:t>must have been faster in these materials.</w:t>
      </w:r>
    </w:p>
    <w:p w14:paraId="5F5AA939" w14:textId="41E1C7B0" w:rsidR="003B6C62" w:rsidRDefault="0041424C" w:rsidP="00B54655">
      <w:pPr>
        <w:pStyle w:val="Paragraph"/>
      </w:pPr>
      <w:r>
        <w:t xml:space="preserve">In addition, </w:t>
      </w:r>
      <w:r w:rsidR="00A72502">
        <w:t>preferred adsorption of o-H</w:t>
      </w:r>
      <w:r w:rsidR="00A72502" w:rsidRPr="00A72502">
        <w:rPr>
          <w:vertAlign w:val="subscript"/>
        </w:rPr>
        <w:t>2</w:t>
      </w:r>
      <w:r w:rsidR="00A72502">
        <w:t xml:space="preserve"> </w:t>
      </w:r>
      <w:r>
        <w:t xml:space="preserve">can occur </w:t>
      </w:r>
      <w:r w:rsidR="00A72502">
        <w:t xml:space="preserve">in some pores. </w:t>
      </w:r>
      <w:r w:rsidR="003B6C62">
        <w:t xml:space="preserve">The physisorption energy is a sum of the isotropic and anisotropic terms of the adsorption potential. While the isotropic term is the same for both </w:t>
      </w:r>
      <w:r w:rsidR="003B6C62">
        <w:lastRenderedPageBreak/>
        <w:t>ortho and para species, the anisotropic term can be different. Namely, the energy of the o-H</w:t>
      </w:r>
      <w:r w:rsidR="003B6C62" w:rsidRPr="0041424C">
        <w:rPr>
          <w:vertAlign w:val="subscript"/>
        </w:rPr>
        <w:t>2</w:t>
      </w:r>
      <w:r w:rsidR="003B6C62">
        <w:t xml:space="preserve"> rotational levels can be lowered or raised due to anisotropic term, while the </w:t>
      </w:r>
      <w:r w:rsidR="00C643B2">
        <w:t>para</w:t>
      </w:r>
      <w:r w:rsidR="003B6C62">
        <w:t xml:space="preserve"> level is lef</w:t>
      </w:r>
      <w:r>
        <w:t>t</w:t>
      </w:r>
      <w:r w:rsidR="003B6C62">
        <w:t xml:space="preserve"> unchanged. This indicates that </w:t>
      </w:r>
      <w:bookmarkStart w:id="7" w:name="_Hlk139030246"/>
      <w:r w:rsidR="00E64BAF" w:rsidRPr="00E64BAF">
        <w:rPr>
          <w:color w:val="FF0000"/>
        </w:rPr>
        <w:t xml:space="preserve">due to the decrease in the </w:t>
      </w:r>
      <w:r w:rsidR="003B6C62" w:rsidRPr="00E64BAF">
        <w:rPr>
          <w:color w:val="FF0000"/>
        </w:rPr>
        <w:t>o-H</w:t>
      </w:r>
      <w:r w:rsidR="003B6C62" w:rsidRPr="00E64BAF">
        <w:rPr>
          <w:color w:val="FF0000"/>
          <w:vertAlign w:val="subscript"/>
        </w:rPr>
        <w:t>2</w:t>
      </w:r>
      <w:r w:rsidR="003B6C62" w:rsidRPr="00E64BAF">
        <w:rPr>
          <w:color w:val="FF0000"/>
        </w:rPr>
        <w:t xml:space="preserve"> </w:t>
      </w:r>
      <w:r w:rsidR="00E64BAF">
        <w:rPr>
          <w:color w:val="FF0000"/>
        </w:rPr>
        <w:t>energy level in specific anisotropic adsorption sites, o-H</w:t>
      </w:r>
      <w:r w:rsidR="00E64BAF" w:rsidRPr="00DE24EA">
        <w:rPr>
          <w:color w:val="FF0000"/>
          <w:vertAlign w:val="subscript"/>
        </w:rPr>
        <w:t>2</w:t>
      </w:r>
      <w:r w:rsidR="00E64BAF">
        <w:rPr>
          <w:color w:val="FF0000"/>
        </w:rPr>
        <w:t xml:space="preserve"> can be </w:t>
      </w:r>
      <w:r w:rsidR="0031223A">
        <w:rPr>
          <w:color w:val="FF0000"/>
        </w:rPr>
        <w:t>preferably</w:t>
      </w:r>
      <w:r w:rsidR="00E64BAF">
        <w:rPr>
          <w:color w:val="FF0000"/>
        </w:rPr>
        <w:t xml:space="preserve"> bound </w:t>
      </w:r>
      <w:r w:rsidR="003B6C62" w:rsidRPr="00E64BAF">
        <w:rPr>
          <w:color w:val="FF0000"/>
        </w:rPr>
        <w:t>to</w:t>
      </w:r>
      <w:r w:rsidR="00E64BAF">
        <w:rPr>
          <w:color w:val="FF0000"/>
        </w:rPr>
        <w:t xml:space="preserve"> </w:t>
      </w:r>
      <w:r w:rsidR="00E64BAF" w:rsidRPr="00E64BAF">
        <w:rPr>
          <w:color w:val="FF0000"/>
        </w:rPr>
        <w:t>these</w:t>
      </w:r>
      <w:r w:rsidR="003B6C62" w:rsidRPr="00E64BAF">
        <w:rPr>
          <w:color w:val="FF0000"/>
        </w:rPr>
        <w:t xml:space="preserve"> sites </w:t>
      </w:r>
      <w:r w:rsidR="00E64BAF" w:rsidRPr="00E64BAF">
        <w:rPr>
          <w:color w:val="FF0000"/>
        </w:rPr>
        <w:t xml:space="preserve">and conversion to </w:t>
      </w:r>
      <w:r w:rsidR="003B6C62" w:rsidRPr="00E64BAF">
        <w:rPr>
          <w:color w:val="FF0000"/>
        </w:rPr>
        <w:t>p-H</w:t>
      </w:r>
      <w:r w:rsidR="003B6C62" w:rsidRPr="00E64BAF">
        <w:rPr>
          <w:color w:val="FF0000"/>
          <w:vertAlign w:val="subscript"/>
        </w:rPr>
        <w:t>2</w:t>
      </w:r>
      <w:r w:rsidR="00B55728" w:rsidRPr="00E64BAF">
        <w:rPr>
          <w:color w:val="FF0000"/>
          <w:vertAlign w:val="subscript"/>
        </w:rPr>
        <w:t xml:space="preserve"> </w:t>
      </w:r>
      <w:r w:rsidR="0031223A">
        <w:rPr>
          <w:rFonts w:cs="Times"/>
          <w:color w:val="FF0000"/>
        </w:rPr>
        <w:t xml:space="preserve">would </w:t>
      </w:r>
      <w:r w:rsidR="00E64BAF">
        <w:rPr>
          <w:rFonts w:cs="Times"/>
          <w:color w:val="FF0000"/>
        </w:rPr>
        <w:t xml:space="preserve">then be </w:t>
      </w:r>
      <w:r w:rsidR="00E64BAF" w:rsidRPr="00E64BAF">
        <w:rPr>
          <w:rFonts w:cs="Times"/>
          <w:color w:val="FF0000"/>
        </w:rPr>
        <w:t>less likely</w:t>
      </w:r>
      <w:bookmarkEnd w:id="7"/>
      <w:r w:rsidR="005850CC">
        <w:rPr>
          <w:rFonts w:cs="Times"/>
          <w:color w:val="FF0000"/>
        </w:rPr>
        <w:t xml:space="preserve"> </w:t>
      </w:r>
      <w:r w:rsidR="00205ADD" w:rsidRPr="00205ADD">
        <w:rPr>
          <w:rFonts w:cs="Times"/>
        </w:rPr>
        <w:t>[16]</w:t>
      </w:r>
      <w:r w:rsidR="00B55728">
        <w:rPr>
          <w:rFonts w:cs="Times"/>
        </w:rPr>
        <w:t>.</w:t>
      </w:r>
    </w:p>
    <w:p w14:paraId="584C8B7A" w14:textId="3AE8C3AE" w:rsidR="00B54655" w:rsidRPr="00DA7C0B" w:rsidRDefault="00D40341" w:rsidP="00B54655">
      <w:pPr>
        <w:pStyle w:val="Paragraph"/>
        <w:rPr>
          <w:color w:val="FF0000"/>
        </w:rPr>
      </w:pPr>
      <w:r>
        <w:t xml:space="preserve">Recently, in the study of Terry et al. </w:t>
      </w:r>
      <w:r w:rsidR="00205ADD" w:rsidRPr="00205ADD">
        <w:rPr>
          <w:rFonts w:cs="Times"/>
        </w:rPr>
        <w:t>[19]</w:t>
      </w:r>
      <w:r>
        <w:t xml:space="preserve">, </w:t>
      </w:r>
      <w:r w:rsidR="00E82CFA">
        <w:t>the s</w:t>
      </w:r>
      <w:r>
        <w:t>pecific adsorption of o</w:t>
      </w:r>
      <w:r w:rsidR="0041424C">
        <w:t>-H</w:t>
      </w:r>
      <w:r w:rsidR="0041424C" w:rsidRPr="0041424C">
        <w:rPr>
          <w:vertAlign w:val="subscript"/>
        </w:rPr>
        <w:t>2</w:t>
      </w:r>
      <w:r>
        <w:t xml:space="preserve"> in</w:t>
      </w:r>
      <w:r w:rsidR="00C0766F">
        <w:t xml:space="preserve"> carbon materials was detected.</w:t>
      </w:r>
      <w:r w:rsidR="00B54655">
        <w:t xml:space="preserve"> T</w:t>
      </w:r>
      <w:r w:rsidR="00C0766F">
        <w:t xml:space="preserve">hese adsorption sites were attributed to </w:t>
      </w:r>
      <w:r>
        <w:t xml:space="preserve">the </w:t>
      </w:r>
      <w:r w:rsidR="004D1388">
        <w:t xml:space="preserve">smallest </w:t>
      </w:r>
      <w:r>
        <w:t xml:space="preserve">pores </w:t>
      </w:r>
      <w:r w:rsidR="004D1388">
        <w:t>(</w:t>
      </w:r>
      <w:r w:rsidR="00B55728">
        <w:t xml:space="preserve">pore width, </w:t>
      </w:r>
      <w:r w:rsidR="00346E89" w:rsidRPr="00346E89">
        <w:rPr>
          <w:i/>
          <w:iCs/>
        </w:rPr>
        <w:t>w</w:t>
      </w:r>
      <w:r w:rsidR="00346E89">
        <w:t xml:space="preserve"> = </w:t>
      </w:r>
      <w:r w:rsidR="004D1388">
        <w:t xml:space="preserve">0.4 nm) or </w:t>
      </w:r>
      <w:r w:rsidR="00C0766F">
        <w:t>some specific</w:t>
      </w:r>
      <w:r w:rsidR="004D1388">
        <w:t xml:space="preserve"> adsorption sites with a disorder-induced </w:t>
      </w:r>
      <w:r w:rsidR="00C0766F">
        <w:t>curvature</w:t>
      </w:r>
      <w:r w:rsidR="004D1388">
        <w:t xml:space="preserve">. </w:t>
      </w:r>
      <w:bookmarkStart w:id="8" w:name="_Hlk139031908"/>
      <w:r w:rsidR="004D1388">
        <w:t>So, it migh</w:t>
      </w:r>
      <w:r w:rsidR="00C0766F">
        <w:t>t</w:t>
      </w:r>
      <w:r w:rsidR="004D1388">
        <w:t xml:space="preserve"> be the case that for low surface coverage, H</w:t>
      </w:r>
      <w:r w:rsidR="004D1388" w:rsidRPr="00C0766F">
        <w:rPr>
          <w:vertAlign w:val="subscript"/>
        </w:rPr>
        <w:t>2</w:t>
      </w:r>
      <w:r w:rsidR="004D1388">
        <w:t xml:space="preserve"> in </w:t>
      </w:r>
      <w:r w:rsidR="00424718">
        <w:t>C-TiC</w:t>
      </w:r>
      <w:r w:rsidR="004D1388">
        <w:t xml:space="preserve"> is </w:t>
      </w:r>
      <w:r w:rsidR="0041424C">
        <w:t>adsorbed in the ortho state</w:t>
      </w:r>
      <w:r w:rsidR="00DA7C0B">
        <w:t xml:space="preserve"> </w:t>
      </w:r>
      <w:r w:rsidR="00DA7C0B" w:rsidRPr="00DA7C0B">
        <w:rPr>
          <w:color w:val="FF0000"/>
        </w:rPr>
        <w:t>and not convert to para form easily</w:t>
      </w:r>
      <w:r w:rsidR="00C0766F" w:rsidRPr="00DA7C0B">
        <w:rPr>
          <w:color w:val="FF0000"/>
        </w:rPr>
        <w:t xml:space="preserve">. </w:t>
      </w:r>
      <w:bookmarkStart w:id="9" w:name="_Hlk139032120"/>
      <w:r w:rsidR="00346E89" w:rsidRPr="00DA7C0B">
        <w:rPr>
          <w:color w:val="FF0000"/>
        </w:rPr>
        <w:t>Thus,</w:t>
      </w:r>
      <w:r w:rsidR="0041424C" w:rsidRPr="00DA7C0B">
        <w:rPr>
          <w:color w:val="FF0000"/>
        </w:rPr>
        <w:t xml:space="preserve"> </w:t>
      </w:r>
      <w:r w:rsidR="00424718" w:rsidRPr="00DA7C0B">
        <w:rPr>
          <w:color w:val="FF0000"/>
        </w:rPr>
        <w:t xml:space="preserve">despite the </w:t>
      </w:r>
      <w:r w:rsidR="00DA7C0B" w:rsidRPr="00DA7C0B">
        <w:rPr>
          <w:color w:val="FF0000"/>
        </w:rPr>
        <w:t xml:space="preserve">anticipated conversion </w:t>
      </w:r>
      <w:r w:rsidR="00424718" w:rsidRPr="00DA7C0B">
        <w:rPr>
          <w:color w:val="FF0000"/>
        </w:rPr>
        <w:t xml:space="preserve">of </w:t>
      </w:r>
      <w:r w:rsidR="00DA7C0B">
        <w:rPr>
          <w:color w:val="FF0000"/>
        </w:rPr>
        <w:t xml:space="preserve">most of the </w:t>
      </w:r>
      <w:r w:rsidR="00424718" w:rsidRPr="00DA7C0B">
        <w:rPr>
          <w:color w:val="FF0000"/>
        </w:rPr>
        <w:t>o</w:t>
      </w:r>
      <w:r w:rsidR="00DA7C0B">
        <w:rPr>
          <w:color w:val="FF0000"/>
        </w:rPr>
        <w:t xml:space="preserve">rtho species to para species already </w:t>
      </w:r>
      <w:r w:rsidR="00DA7C0B" w:rsidRPr="00DA7C0B">
        <w:rPr>
          <w:color w:val="FF0000"/>
        </w:rPr>
        <w:t>before the start of the neutron scattering measurement</w:t>
      </w:r>
      <w:r w:rsidR="00424718" w:rsidRPr="00DA7C0B">
        <w:rPr>
          <w:color w:val="FF0000"/>
        </w:rPr>
        <w:t xml:space="preserve">, an appreciable amount of hydrogen is </w:t>
      </w:r>
      <w:r w:rsidR="00B55728" w:rsidRPr="00DA7C0B">
        <w:rPr>
          <w:color w:val="FF0000"/>
        </w:rPr>
        <w:t xml:space="preserve">still </w:t>
      </w:r>
      <w:r w:rsidR="00424718" w:rsidRPr="00DA7C0B">
        <w:rPr>
          <w:color w:val="FF0000"/>
        </w:rPr>
        <w:t xml:space="preserve">left in the ortho state in </w:t>
      </w:r>
      <w:r w:rsidR="00DA7C0B">
        <w:rPr>
          <w:color w:val="FF0000"/>
        </w:rPr>
        <w:t>the</w:t>
      </w:r>
      <w:r w:rsidR="00424718" w:rsidRPr="00DA7C0B">
        <w:rPr>
          <w:color w:val="FF0000"/>
        </w:rPr>
        <w:t xml:space="preserve"> pores</w:t>
      </w:r>
      <w:r w:rsidR="00DA7C0B">
        <w:rPr>
          <w:color w:val="FF0000"/>
        </w:rPr>
        <w:t xml:space="preserve"> in C-TiC</w:t>
      </w:r>
      <w:r w:rsidR="00424718" w:rsidRPr="00DA7C0B">
        <w:rPr>
          <w:color w:val="FF0000"/>
        </w:rPr>
        <w:t>.</w:t>
      </w:r>
      <w:r w:rsidR="0041424C" w:rsidRPr="00DA7C0B">
        <w:rPr>
          <w:color w:val="FF0000"/>
        </w:rPr>
        <w:t xml:space="preserve"> </w:t>
      </w:r>
      <w:bookmarkEnd w:id="9"/>
      <w:r w:rsidR="00DA7C0B" w:rsidRPr="00DA7C0B">
        <w:rPr>
          <w:color w:val="FF0000"/>
        </w:rPr>
        <w:t xml:space="preserve">Thus, the </w:t>
      </w:r>
      <w:r w:rsidR="0031223A" w:rsidRPr="00DA7C0B">
        <w:rPr>
          <w:color w:val="FF0000"/>
        </w:rPr>
        <w:t>existence</w:t>
      </w:r>
      <w:r w:rsidR="00DA7C0B" w:rsidRPr="00DA7C0B">
        <w:rPr>
          <w:color w:val="FF0000"/>
        </w:rPr>
        <w:t xml:space="preserve"> of o</w:t>
      </w:r>
      <w:r w:rsidR="00DA7C0B" w:rsidRPr="00DA7C0B">
        <w:rPr>
          <w:rFonts w:ascii="Arial" w:hAnsi="Arial" w:cs="Arial"/>
          <w:color w:val="FF0000"/>
        </w:rPr>
        <w:t>→</w:t>
      </w:r>
      <w:r w:rsidR="00DA7C0B" w:rsidRPr="00DA7C0B">
        <w:rPr>
          <w:color w:val="FF0000"/>
        </w:rPr>
        <w:t>p</w:t>
      </w:r>
      <w:r w:rsidR="00DA7C0B">
        <w:rPr>
          <w:color w:val="FF0000"/>
        </w:rPr>
        <w:t xml:space="preserve"> transition band proves the existence of o-H</w:t>
      </w:r>
      <w:r w:rsidR="00DA7C0B" w:rsidRPr="00DA7C0B">
        <w:rPr>
          <w:color w:val="FF0000"/>
          <w:vertAlign w:val="subscript"/>
        </w:rPr>
        <w:t>2</w:t>
      </w:r>
      <w:r w:rsidR="00DA7C0B">
        <w:rPr>
          <w:color w:val="FF0000"/>
        </w:rPr>
        <w:t xml:space="preserve"> still in the pores which</w:t>
      </w:r>
      <w:r w:rsidR="005850CC" w:rsidRPr="005850CC">
        <w:rPr>
          <w:color w:val="FF0000"/>
        </w:rPr>
        <w:t xml:space="preserve"> alludes to the </w:t>
      </w:r>
      <w:r w:rsidR="00DA7C0B" w:rsidRPr="00DA7C0B">
        <w:rPr>
          <w:color w:val="FF0000"/>
        </w:rPr>
        <w:t>H</w:t>
      </w:r>
      <w:r w:rsidR="00DA7C0B" w:rsidRPr="00DA7C0B">
        <w:rPr>
          <w:color w:val="FF0000"/>
          <w:vertAlign w:val="subscript"/>
        </w:rPr>
        <w:t>2</w:t>
      </w:r>
      <w:r w:rsidR="00DA7C0B" w:rsidRPr="00DA7C0B">
        <w:rPr>
          <w:color w:val="FF0000"/>
        </w:rPr>
        <w:t xml:space="preserve"> rotation being strongly affected by the anisotropic adsorption potential</w:t>
      </w:r>
      <w:r w:rsidR="00DA7C0B">
        <w:rPr>
          <w:color w:val="FF0000"/>
        </w:rPr>
        <w:t xml:space="preserve"> in these pores.</w:t>
      </w:r>
    </w:p>
    <w:bookmarkEnd w:id="8"/>
    <w:p w14:paraId="5782DA7D" w14:textId="2E10910E" w:rsidR="004A52D1" w:rsidRDefault="004A52D1" w:rsidP="00424718">
      <w:pPr>
        <w:pStyle w:val="Paragraphfirst"/>
      </w:pPr>
      <w:r>
        <w:tab/>
      </w:r>
      <w:r w:rsidR="00346E89">
        <w:t xml:space="preserve">This explanation is also supported by the fact that the </w:t>
      </w:r>
      <w:r w:rsidR="00424718">
        <w:t>o</w:t>
      </w:r>
      <w:r w:rsidR="00346E89" w:rsidRPr="00382D8E">
        <w:rPr>
          <w:rFonts w:ascii="Arial" w:hAnsi="Arial" w:cs="Arial"/>
        </w:rPr>
        <w:t>→</w:t>
      </w:r>
      <w:r w:rsidR="00424718">
        <w:t>p</w:t>
      </w:r>
      <w:r w:rsidR="00346E89">
        <w:t xml:space="preserve"> band seen in C-TiC was centred at approx. </w:t>
      </w:r>
      <w:r w:rsidR="00293881">
        <w:t>d</w:t>
      </w:r>
      <w:r w:rsidR="00293881" w:rsidRPr="00293881">
        <w:rPr>
          <w:i/>
          <w:iCs/>
        </w:rPr>
        <w:t>E</w:t>
      </w:r>
      <w:r w:rsidR="00293881">
        <w:t xml:space="preserve"> = </w:t>
      </w:r>
      <w:r w:rsidR="00346E89">
        <w:rPr>
          <w:rFonts w:ascii="Arial" w:hAnsi="Arial" w:cs="Arial"/>
        </w:rPr>
        <w:t>−</w:t>
      </w:r>
      <w:r w:rsidR="00346E89">
        <w:t>13 meV</w:t>
      </w:r>
      <w:r w:rsidR="00424718">
        <w:t xml:space="preserve"> (Fig.</w:t>
      </w:r>
      <w:r w:rsidR="00B55728">
        <w:t>1</w:t>
      </w:r>
      <w:r w:rsidR="00424718">
        <w:t>)</w:t>
      </w:r>
      <w:r w:rsidR="00346E89">
        <w:t xml:space="preserve">, instead of </w:t>
      </w:r>
      <w:r w:rsidR="00293881">
        <w:t>d</w:t>
      </w:r>
      <w:r w:rsidR="00293881" w:rsidRPr="00293881">
        <w:rPr>
          <w:i/>
          <w:iCs/>
        </w:rPr>
        <w:t>E</w:t>
      </w:r>
      <w:r w:rsidR="00293881">
        <w:t xml:space="preserve"> = </w:t>
      </w:r>
      <w:r w:rsidR="00FD5A7C">
        <w:rPr>
          <w:rFonts w:ascii="Arial" w:hAnsi="Arial" w:cs="Arial"/>
        </w:rPr>
        <w:t>−</w:t>
      </w:r>
      <w:r w:rsidR="00346E89">
        <w:t>14.7 meV seen for freely rotating H</w:t>
      </w:r>
      <w:r w:rsidR="00346E89" w:rsidRPr="00346E89">
        <w:rPr>
          <w:vertAlign w:val="subscript"/>
        </w:rPr>
        <w:t>2</w:t>
      </w:r>
      <w:r w:rsidR="00B55728">
        <w:t xml:space="preserve">. </w:t>
      </w:r>
      <w:r w:rsidR="00346E89">
        <w:t>This deviation refers to strong anisotropic adsorption potential in the pores of C-TiC</w:t>
      </w:r>
      <w:r w:rsidR="00C8534A">
        <w:t>.</w:t>
      </w:r>
    </w:p>
    <w:p w14:paraId="640C7142" w14:textId="77777777" w:rsidR="004A52D1" w:rsidRDefault="004A52D1" w:rsidP="00424718">
      <w:pPr>
        <w:pStyle w:val="Paragraphfirst"/>
      </w:pPr>
    </w:p>
    <w:p w14:paraId="10F4B676" w14:textId="0B72A9D0" w:rsidR="00655D5B" w:rsidRPr="004A52D1" w:rsidRDefault="004A52D1" w:rsidP="00424718">
      <w:pPr>
        <w:pStyle w:val="Paragraphfirst"/>
        <w:rPr>
          <w:rFonts w:ascii="Arial" w:hAnsi="Arial" w:cs="Arial"/>
          <w:b/>
          <w:bCs/>
          <w:iCs/>
          <w:szCs w:val="28"/>
        </w:rPr>
      </w:pPr>
      <w:r>
        <w:rPr>
          <w:rFonts w:ascii="Arial" w:hAnsi="Arial" w:cs="Arial"/>
          <w:b/>
          <w:bCs/>
          <w:iCs/>
          <w:szCs w:val="28"/>
        </w:rPr>
        <w:t>3.2</w:t>
      </w:r>
      <w:r w:rsidR="00347AED" w:rsidRPr="004A52D1">
        <w:rPr>
          <w:rFonts w:ascii="Arial" w:hAnsi="Arial" w:cs="Arial"/>
          <w:b/>
          <w:bCs/>
          <w:iCs/>
          <w:szCs w:val="28"/>
        </w:rPr>
        <w:t xml:space="preserve"> </w:t>
      </w:r>
      <w:r w:rsidR="00655D5B" w:rsidRPr="004A52D1">
        <w:rPr>
          <w:rFonts w:ascii="Arial" w:hAnsi="Arial" w:cs="Arial"/>
          <w:b/>
          <w:bCs/>
          <w:iCs/>
          <w:szCs w:val="28"/>
        </w:rPr>
        <w:t>Quasi-elastic broadening</w:t>
      </w:r>
      <w:r w:rsidR="00B55728">
        <w:rPr>
          <w:rFonts w:ascii="Arial" w:hAnsi="Arial" w:cs="Arial"/>
          <w:b/>
          <w:bCs/>
          <w:iCs/>
          <w:szCs w:val="28"/>
        </w:rPr>
        <w:t>,</w:t>
      </w:r>
      <w:r w:rsidR="00655D5B" w:rsidRPr="004A52D1">
        <w:rPr>
          <w:rFonts w:ascii="Arial" w:hAnsi="Arial" w:cs="Arial"/>
          <w:b/>
          <w:bCs/>
          <w:iCs/>
          <w:szCs w:val="28"/>
        </w:rPr>
        <w:t xml:space="preserve"> </w:t>
      </w:r>
      <w:proofErr w:type="gramStart"/>
      <w:r w:rsidR="00655D5B" w:rsidRPr="004A52D1">
        <w:rPr>
          <w:rFonts w:ascii="Arial" w:hAnsi="Arial" w:cs="Arial"/>
          <w:b/>
          <w:bCs/>
          <w:iCs/>
          <w:szCs w:val="28"/>
        </w:rPr>
        <w:t>i.e.</w:t>
      </w:r>
      <w:proofErr w:type="gramEnd"/>
      <w:r w:rsidR="00655D5B" w:rsidRPr="004A52D1">
        <w:rPr>
          <w:rFonts w:ascii="Arial" w:hAnsi="Arial" w:cs="Arial"/>
          <w:b/>
          <w:bCs/>
          <w:iCs/>
          <w:szCs w:val="28"/>
        </w:rPr>
        <w:t xml:space="preserve"> H</w:t>
      </w:r>
      <w:r w:rsidR="00655D5B" w:rsidRPr="004A52D1">
        <w:rPr>
          <w:rFonts w:ascii="Arial" w:hAnsi="Arial" w:cs="Arial"/>
          <w:b/>
          <w:bCs/>
          <w:iCs/>
          <w:szCs w:val="28"/>
          <w:vertAlign w:val="subscript"/>
        </w:rPr>
        <w:t>2</w:t>
      </w:r>
      <w:r w:rsidR="00655D5B" w:rsidRPr="004A52D1">
        <w:rPr>
          <w:rFonts w:ascii="Arial" w:hAnsi="Arial" w:cs="Arial"/>
          <w:b/>
          <w:bCs/>
          <w:iCs/>
          <w:szCs w:val="28"/>
        </w:rPr>
        <w:t xml:space="preserve"> diffusion</w:t>
      </w:r>
    </w:p>
    <w:p w14:paraId="1B74C1C1" w14:textId="7D44BAC0" w:rsidR="002858A9" w:rsidRPr="002858A9" w:rsidRDefault="009F3BDF" w:rsidP="002858A9">
      <w:pPr>
        <w:pStyle w:val="Paragraphfirst"/>
      </w:pPr>
      <w:r>
        <w:t>The H</w:t>
      </w:r>
      <w:r w:rsidRPr="00C27C2E">
        <w:rPr>
          <w:vertAlign w:val="subscript"/>
        </w:rPr>
        <w:t>2</w:t>
      </w:r>
      <w:r>
        <w:t xml:space="preserve"> diffusion was recently seen to occur in multiple different timescales in the pores of carbon materials. </w:t>
      </w:r>
      <w:r w:rsidR="008C03E4" w:rsidRPr="00D918FF">
        <w:t xml:space="preserve">[25] </w:t>
      </w:r>
      <w:r w:rsidR="000A1563">
        <w:t>This has increased the int</w:t>
      </w:r>
      <w:r w:rsidR="00D8121F">
        <w:t>e</w:t>
      </w:r>
      <w:r w:rsidR="000A1563">
        <w:t xml:space="preserve">rest to investigate the quasi-elastic broadening </w:t>
      </w:r>
      <w:r w:rsidR="000A1563" w:rsidRPr="00D84E8C">
        <w:t xml:space="preserve">component of </w:t>
      </w:r>
      <w:r w:rsidR="000A1563" w:rsidRPr="00D84E8C">
        <w:rPr>
          <w:i/>
          <w:iCs/>
          <w:color w:val="FF0000"/>
        </w:rPr>
        <w:t>S</w:t>
      </w:r>
      <w:r w:rsidR="000A1563" w:rsidRPr="00D84E8C">
        <w:rPr>
          <w:color w:val="FF0000"/>
        </w:rPr>
        <w:t>(</w:t>
      </w:r>
      <w:r w:rsidR="000A1563" w:rsidRPr="00D84E8C">
        <w:rPr>
          <w:i/>
          <w:iCs/>
          <w:color w:val="FF0000"/>
        </w:rPr>
        <w:t>E</w:t>
      </w:r>
      <w:r w:rsidR="000A1563" w:rsidRPr="00D84E8C">
        <w:rPr>
          <w:color w:val="FF0000"/>
        </w:rPr>
        <w:t xml:space="preserve">) </w:t>
      </w:r>
      <w:r w:rsidR="000A1563">
        <w:t xml:space="preserve">in </w:t>
      </w:r>
      <w:r w:rsidR="00EC26D0">
        <w:t xml:space="preserve">a wide energy </w:t>
      </w:r>
      <w:r w:rsidR="000A1563">
        <w:t>transfer window</w:t>
      </w:r>
      <w:r w:rsidR="00D8121F">
        <w:t xml:space="preserve">. </w:t>
      </w:r>
      <w:r w:rsidR="002858A9">
        <w:t>From the investigated CDC materials, a</w:t>
      </w:r>
      <w:r w:rsidR="00B46F9A">
        <w:t xml:space="preserve"> wide</w:t>
      </w:r>
      <w:r w:rsidR="002858A9">
        <w:t xml:space="preserve"> temperature-dependant quasi-elastic </w:t>
      </w:r>
      <w:r w:rsidR="002858A9" w:rsidRPr="002858A9">
        <w:t xml:space="preserve">broadening was detected in </w:t>
      </w:r>
      <w:r w:rsidR="002858A9" w:rsidRPr="00D84E8C">
        <w:t xml:space="preserve">the </w:t>
      </w:r>
      <w:r w:rsidR="002858A9" w:rsidRPr="00D84E8C">
        <w:rPr>
          <w:i/>
          <w:iCs/>
          <w:color w:val="FF0000"/>
        </w:rPr>
        <w:t>S</w:t>
      </w:r>
      <w:r w:rsidR="002858A9" w:rsidRPr="00D84E8C">
        <w:rPr>
          <w:color w:val="FF0000"/>
          <w:vertAlign w:val="subscript"/>
        </w:rPr>
        <w:t>H2</w:t>
      </w:r>
      <w:r w:rsidR="002858A9" w:rsidRPr="00D84E8C">
        <w:rPr>
          <w:color w:val="FF0000"/>
        </w:rPr>
        <w:t>(</w:t>
      </w:r>
      <w:r w:rsidR="002858A9" w:rsidRPr="00D84E8C">
        <w:rPr>
          <w:i/>
          <w:iCs/>
          <w:color w:val="FF0000"/>
        </w:rPr>
        <w:t>E</w:t>
      </w:r>
      <w:r w:rsidR="002858A9" w:rsidRPr="00D84E8C">
        <w:rPr>
          <w:color w:val="FF0000"/>
        </w:rPr>
        <w:t>)</w:t>
      </w:r>
      <w:r w:rsidR="002858A9" w:rsidRPr="00D84E8C">
        <w:t xml:space="preserve"> </w:t>
      </w:r>
      <w:r w:rsidR="002858A9">
        <w:t>in the C-Mo</w:t>
      </w:r>
      <w:r w:rsidR="002858A9" w:rsidRPr="00C27C2E">
        <w:rPr>
          <w:vertAlign w:val="subscript"/>
        </w:rPr>
        <w:t>2</w:t>
      </w:r>
      <w:r w:rsidR="002858A9">
        <w:t xml:space="preserve">C material </w:t>
      </w:r>
      <w:r w:rsidR="00C56149">
        <w:t xml:space="preserve">at temperatures over </w:t>
      </w:r>
      <w:r w:rsidR="00B46F9A">
        <w:t>25</w:t>
      </w:r>
      <w:r w:rsidR="00C56149">
        <w:t xml:space="preserve"> K </w:t>
      </w:r>
      <w:r w:rsidR="002858A9">
        <w:t xml:space="preserve">(Fig. </w:t>
      </w:r>
      <w:r w:rsidR="00B46F9A">
        <w:t>3a</w:t>
      </w:r>
      <w:r w:rsidR="002858A9">
        <w:t>).</w:t>
      </w:r>
      <w:r w:rsidR="00B46F9A">
        <w:t xml:space="preserve"> </w:t>
      </w:r>
      <w:r w:rsidR="002858A9">
        <w:t>This could refer to fast self-diffusion of H</w:t>
      </w:r>
      <w:r w:rsidR="002858A9" w:rsidRPr="00C27C2E">
        <w:rPr>
          <w:vertAlign w:val="subscript"/>
        </w:rPr>
        <w:t>2</w:t>
      </w:r>
      <w:r w:rsidR="002858A9">
        <w:t xml:space="preserve"> that could occur in mesopores and be </w:t>
      </w:r>
      <w:r w:rsidR="00B55728">
        <w:t xml:space="preserve">also </w:t>
      </w:r>
      <w:r w:rsidR="002858A9">
        <w:t>related to multilayer adsorp</w:t>
      </w:r>
      <w:r w:rsidR="00516797">
        <w:t>t</w:t>
      </w:r>
      <w:r w:rsidR="002858A9">
        <w:t>ion.</w:t>
      </w:r>
    </w:p>
    <w:p w14:paraId="7DF38A57" w14:textId="47AA16E8" w:rsidR="000A1563" w:rsidRDefault="00831000" w:rsidP="000A1563">
      <w:pPr>
        <w:pStyle w:val="Paragraph"/>
        <w:ind w:firstLine="0"/>
      </w:pPr>
      <w:r w:rsidRPr="005307B3">
        <w:rPr>
          <w:lang w:val="et-EE"/>
        </w:rPr>
        <w:object w:dxaOrig="6445" w:dyaOrig="4000" w14:anchorId="089C23A6">
          <v:shape id="_x0000_i1027" type="#_x0000_t75" style="width:222.75pt;height:138.75pt" o:ole="">
            <v:imagedata r:id="rId13" o:title=""/>
          </v:shape>
          <o:OLEObject Type="Embed" ProgID="Origin95.Graph" ShapeID="_x0000_i1027" DrawAspect="Content" ObjectID="_1749888352" r:id="rId14"/>
        </w:object>
      </w:r>
    </w:p>
    <w:p w14:paraId="2A4FE70D" w14:textId="36CE69E8" w:rsidR="000A1563" w:rsidRDefault="000A1563" w:rsidP="00FC0264">
      <w:pPr>
        <w:pStyle w:val="Paragraph"/>
        <w:tabs>
          <w:tab w:val="clear" w:pos="340"/>
          <w:tab w:val="left" w:pos="426"/>
        </w:tabs>
        <w:ind w:firstLine="0"/>
        <w:rPr>
          <w:sz w:val="18"/>
          <w:szCs w:val="18"/>
        </w:rPr>
      </w:pPr>
      <w:r w:rsidRPr="000D5D33">
        <w:rPr>
          <w:b/>
          <w:bCs/>
          <w:sz w:val="18"/>
          <w:szCs w:val="18"/>
        </w:rPr>
        <w:t xml:space="preserve">Fig. </w:t>
      </w:r>
      <w:r w:rsidR="00B46F9A">
        <w:rPr>
          <w:b/>
          <w:bCs/>
          <w:sz w:val="18"/>
          <w:szCs w:val="18"/>
        </w:rPr>
        <w:t>3</w:t>
      </w:r>
      <w:r w:rsidRPr="000D5D33">
        <w:rPr>
          <w:sz w:val="18"/>
          <w:szCs w:val="18"/>
        </w:rPr>
        <w:t xml:space="preserve">. </w:t>
      </w:r>
      <w:r w:rsidR="00B46F9A">
        <w:rPr>
          <w:sz w:val="18"/>
          <w:szCs w:val="18"/>
        </w:rPr>
        <w:t>(a</w:t>
      </w:r>
      <w:r w:rsidR="00B46F9A" w:rsidRPr="00D84E8C">
        <w:rPr>
          <w:sz w:val="18"/>
          <w:szCs w:val="18"/>
        </w:rPr>
        <w:t xml:space="preserve">) </w:t>
      </w:r>
      <w:r w:rsidR="00D8121F" w:rsidRPr="00D84E8C">
        <w:rPr>
          <w:sz w:val="18"/>
          <w:szCs w:val="18"/>
        </w:rPr>
        <w:t xml:space="preserve">The </w:t>
      </w:r>
      <w:r w:rsidR="00D8121F" w:rsidRPr="00D84E8C">
        <w:rPr>
          <w:i/>
          <w:iCs/>
          <w:color w:val="FF0000"/>
          <w:sz w:val="18"/>
          <w:szCs w:val="18"/>
        </w:rPr>
        <w:t>S</w:t>
      </w:r>
      <w:r w:rsidR="00D8121F" w:rsidRPr="00D84E8C">
        <w:rPr>
          <w:color w:val="FF0000"/>
          <w:sz w:val="18"/>
          <w:szCs w:val="18"/>
          <w:vertAlign w:val="subscript"/>
        </w:rPr>
        <w:t>H2</w:t>
      </w:r>
      <w:r w:rsidR="00D8121F" w:rsidRPr="00D84E8C">
        <w:rPr>
          <w:color w:val="FF0000"/>
          <w:sz w:val="18"/>
          <w:szCs w:val="18"/>
        </w:rPr>
        <w:t>(</w:t>
      </w:r>
      <w:r w:rsidR="00D8121F" w:rsidRPr="00D84E8C">
        <w:rPr>
          <w:i/>
          <w:iCs/>
          <w:color w:val="FF0000"/>
          <w:sz w:val="18"/>
          <w:szCs w:val="18"/>
        </w:rPr>
        <w:t>E</w:t>
      </w:r>
      <w:r w:rsidR="00D8121F" w:rsidRPr="00D84E8C">
        <w:rPr>
          <w:color w:val="FF0000"/>
          <w:sz w:val="18"/>
          <w:szCs w:val="18"/>
        </w:rPr>
        <w:t xml:space="preserve">) </w:t>
      </w:r>
      <w:r w:rsidR="00D8121F">
        <w:rPr>
          <w:sz w:val="18"/>
          <w:szCs w:val="18"/>
        </w:rPr>
        <w:t xml:space="preserve">of hydrogen </w:t>
      </w:r>
      <w:r w:rsidR="00577FD2">
        <w:rPr>
          <w:sz w:val="18"/>
          <w:szCs w:val="18"/>
        </w:rPr>
        <w:t>in C-Mo</w:t>
      </w:r>
      <w:r w:rsidR="00577FD2" w:rsidRPr="00577FD2">
        <w:rPr>
          <w:sz w:val="18"/>
          <w:szCs w:val="18"/>
          <w:vertAlign w:val="subscript"/>
        </w:rPr>
        <w:t>2</w:t>
      </w:r>
      <w:r w:rsidR="00577FD2">
        <w:rPr>
          <w:sz w:val="18"/>
          <w:szCs w:val="18"/>
        </w:rPr>
        <w:t xml:space="preserve">C </w:t>
      </w:r>
      <w:r w:rsidR="00EC26D0">
        <w:rPr>
          <w:sz w:val="18"/>
          <w:szCs w:val="18"/>
        </w:rPr>
        <w:t>(</w:t>
      </w:r>
      <w:r w:rsidR="00577FD2" w:rsidRPr="00577FD2">
        <w:rPr>
          <w:i/>
          <w:iCs/>
          <w:sz w:val="18"/>
          <w:szCs w:val="18"/>
        </w:rPr>
        <w:t>p</w:t>
      </w:r>
      <w:r w:rsidR="00577FD2" w:rsidRPr="00577FD2">
        <w:rPr>
          <w:sz w:val="18"/>
          <w:szCs w:val="18"/>
          <w:vertAlign w:val="subscript"/>
        </w:rPr>
        <w:t>H</w:t>
      </w:r>
      <w:proofErr w:type="gramStart"/>
      <w:r w:rsidR="00577FD2" w:rsidRPr="00577FD2">
        <w:rPr>
          <w:sz w:val="18"/>
          <w:szCs w:val="18"/>
          <w:vertAlign w:val="subscript"/>
        </w:rPr>
        <w:t>2,load</w:t>
      </w:r>
      <w:proofErr w:type="gramEnd"/>
      <w:r w:rsidR="00577FD2" w:rsidRPr="00577FD2">
        <w:rPr>
          <w:sz w:val="18"/>
          <w:szCs w:val="18"/>
          <w:vertAlign w:val="subscript"/>
        </w:rPr>
        <w:t xml:space="preserve"> </w:t>
      </w:r>
      <w:r w:rsidR="00577FD2">
        <w:rPr>
          <w:sz w:val="18"/>
          <w:szCs w:val="18"/>
        </w:rPr>
        <w:t xml:space="preserve">= 87 </w:t>
      </w:r>
      <w:r w:rsidR="00EC26D0">
        <w:rPr>
          <w:sz w:val="18"/>
          <w:szCs w:val="18"/>
        </w:rPr>
        <w:t> </w:t>
      </w:r>
      <w:r w:rsidR="00577FD2">
        <w:rPr>
          <w:sz w:val="18"/>
          <w:szCs w:val="18"/>
        </w:rPr>
        <w:t>mbar</w:t>
      </w:r>
      <w:r w:rsidR="00EC26D0">
        <w:rPr>
          <w:sz w:val="18"/>
          <w:szCs w:val="18"/>
        </w:rPr>
        <w:t>).</w:t>
      </w:r>
      <w:r w:rsidR="00577FD2">
        <w:rPr>
          <w:sz w:val="18"/>
          <w:szCs w:val="18"/>
        </w:rPr>
        <w:t xml:space="preserve"> </w:t>
      </w:r>
      <w:r w:rsidR="00B46F9A">
        <w:rPr>
          <w:sz w:val="18"/>
          <w:szCs w:val="18"/>
        </w:rPr>
        <w:t xml:space="preserve">(b) The deconvolution of </w:t>
      </w:r>
      <w:r w:rsidR="00B46F9A" w:rsidRPr="00D84E8C">
        <w:rPr>
          <w:i/>
          <w:iCs/>
          <w:color w:val="FF0000"/>
        </w:rPr>
        <w:t>S</w:t>
      </w:r>
      <w:r w:rsidR="00B46F9A" w:rsidRPr="00D84E8C">
        <w:rPr>
          <w:color w:val="FF0000"/>
          <w:vertAlign w:val="subscript"/>
        </w:rPr>
        <w:t>H2</w:t>
      </w:r>
      <w:r w:rsidR="00B46F9A" w:rsidRPr="00D84E8C">
        <w:rPr>
          <w:color w:val="FF0000"/>
        </w:rPr>
        <w:t>(</w:t>
      </w:r>
      <w:r w:rsidR="00B46F9A" w:rsidRPr="00D84E8C">
        <w:rPr>
          <w:i/>
          <w:iCs/>
          <w:color w:val="FF0000"/>
        </w:rPr>
        <w:t>E</w:t>
      </w:r>
      <w:r w:rsidR="00B46F9A" w:rsidRPr="00D84E8C">
        <w:rPr>
          <w:color w:val="FF0000"/>
        </w:rPr>
        <w:t xml:space="preserve">) </w:t>
      </w:r>
      <w:r w:rsidR="00B46F9A">
        <w:t xml:space="preserve">of </w:t>
      </w:r>
      <w:r w:rsidR="00B46F9A">
        <w:rPr>
          <w:sz w:val="18"/>
          <w:szCs w:val="18"/>
        </w:rPr>
        <w:t>C-Mo</w:t>
      </w:r>
      <w:r w:rsidR="00B46F9A" w:rsidRPr="00577FD2">
        <w:rPr>
          <w:sz w:val="18"/>
          <w:szCs w:val="18"/>
          <w:vertAlign w:val="subscript"/>
        </w:rPr>
        <w:t>2</w:t>
      </w:r>
      <w:r w:rsidR="00B46F9A">
        <w:rPr>
          <w:sz w:val="18"/>
          <w:szCs w:val="18"/>
        </w:rPr>
        <w:t>C (</w:t>
      </w:r>
      <w:r w:rsidR="00B46F9A" w:rsidRPr="00577FD2">
        <w:rPr>
          <w:i/>
          <w:iCs/>
          <w:sz w:val="18"/>
          <w:szCs w:val="18"/>
        </w:rPr>
        <w:t>p</w:t>
      </w:r>
      <w:r w:rsidR="00B46F9A" w:rsidRPr="00577FD2">
        <w:rPr>
          <w:sz w:val="18"/>
          <w:szCs w:val="18"/>
          <w:vertAlign w:val="subscript"/>
        </w:rPr>
        <w:t>H</w:t>
      </w:r>
      <w:proofErr w:type="gramStart"/>
      <w:r w:rsidR="00B46F9A" w:rsidRPr="00577FD2">
        <w:rPr>
          <w:sz w:val="18"/>
          <w:szCs w:val="18"/>
          <w:vertAlign w:val="subscript"/>
        </w:rPr>
        <w:t>2,load</w:t>
      </w:r>
      <w:proofErr w:type="gramEnd"/>
      <w:r w:rsidR="00B46F9A" w:rsidRPr="00577FD2">
        <w:rPr>
          <w:sz w:val="18"/>
          <w:szCs w:val="18"/>
          <w:vertAlign w:val="subscript"/>
        </w:rPr>
        <w:t xml:space="preserve"> </w:t>
      </w:r>
      <w:r w:rsidR="00B46F9A">
        <w:rPr>
          <w:sz w:val="18"/>
          <w:szCs w:val="18"/>
        </w:rPr>
        <w:t xml:space="preserve">= 87  mbar) at 120 K. QE1 is the quasi-elastic </w:t>
      </w:r>
      <w:r w:rsidR="009720FE" w:rsidRPr="009720FE">
        <w:rPr>
          <w:color w:val="FF0000"/>
          <w:sz w:val="18"/>
          <w:szCs w:val="18"/>
        </w:rPr>
        <w:t>intenisty</w:t>
      </w:r>
      <w:r w:rsidR="009720FE" w:rsidRPr="009720FE">
        <w:rPr>
          <w:color w:val="FF0000"/>
          <w:sz w:val="18"/>
          <w:szCs w:val="18"/>
        </w:rPr>
        <w:t xml:space="preserve"> </w:t>
      </w:r>
      <w:r w:rsidR="00B46F9A">
        <w:rPr>
          <w:sz w:val="18"/>
          <w:szCs w:val="18"/>
        </w:rPr>
        <w:t>related to the slower self-</w:t>
      </w:r>
      <w:r w:rsidR="00AA1B18">
        <w:rPr>
          <w:sz w:val="18"/>
          <w:szCs w:val="18"/>
        </w:rPr>
        <w:t>diffusion</w:t>
      </w:r>
      <w:r w:rsidR="00B46F9A">
        <w:rPr>
          <w:sz w:val="18"/>
          <w:szCs w:val="18"/>
        </w:rPr>
        <w:t xml:space="preserve">, and QE2 is the quasi-elastic </w:t>
      </w:r>
      <w:r w:rsidR="009720FE" w:rsidRPr="009720FE">
        <w:rPr>
          <w:color w:val="FF0000"/>
          <w:sz w:val="18"/>
          <w:szCs w:val="18"/>
        </w:rPr>
        <w:t>intensity</w:t>
      </w:r>
      <w:r w:rsidR="009720FE" w:rsidRPr="009720FE">
        <w:rPr>
          <w:color w:val="FF0000"/>
          <w:sz w:val="18"/>
          <w:szCs w:val="18"/>
        </w:rPr>
        <w:t xml:space="preserve"> </w:t>
      </w:r>
      <w:r w:rsidR="00B46F9A">
        <w:rPr>
          <w:sz w:val="18"/>
          <w:szCs w:val="18"/>
        </w:rPr>
        <w:t>related to the faster self-diffusion of H</w:t>
      </w:r>
      <w:r w:rsidR="00B46F9A" w:rsidRPr="00B46F9A">
        <w:rPr>
          <w:sz w:val="18"/>
          <w:szCs w:val="18"/>
          <w:vertAlign w:val="subscript"/>
        </w:rPr>
        <w:t>2</w:t>
      </w:r>
      <w:r w:rsidR="00B46F9A">
        <w:rPr>
          <w:sz w:val="18"/>
          <w:szCs w:val="18"/>
        </w:rPr>
        <w:t>.</w:t>
      </w:r>
    </w:p>
    <w:p w14:paraId="2EEB574C" w14:textId="77777777" w:rsidR="00B46F9A" w:rsidRDefault="00B46F9A" w:rsidP="000A1563">
      <w:pPr>
        <w:pStyle w:val="Paragraph"/>
        <w:rPr>
          <w:sz w:val="18"/>
          <w:szCs w:val="18"/>
        </w:rPr>
      </w:pPr>
    </w:p>
    <w:p w14:paraId="6AF988FF" w14:textId="5692DD49" w:rsidR="00B46F9A" w:rsidRDefault="00B46F9A" w:rsidP="000A1563">
      <w:pPr>
        <w:pStyle w:val="Paragraph"/>
      </w:pPr>
      <w:r w:rsidRPr="00B46F9A">
        <w:t xml:space="preserve">To </w:t>
      </w:r>
      <w:r>
        <w:t>investigate</w:t>
      </w:r>
      <w:r w:rsidRPr="00B46F9A">
        <w:t xml:space="preserve"> the exist</w:t>
      </w:r>
      <w:r w:rsidR="00B30F8B">
        <w:t>en</w:t>
      </w:r>
      <w:r w:rsidRPr="00B46F9A">
        <w:t xml:space="preserve">ce of </w:t>
      </w:r>
      <w:r>
        <w:t>self-</w:t>
      </w:r>
      <w:r w:rsidRPr="00B46F9A">
        <w:t xml:space="preserve">diffusion at different timescales, the </w:t>
      </w:r>
      <w:r w:rsidRPr="00D84E8C">
        <w:rPr>
          <w:i/>
          <w:iCs/>
          <w:color w:val="FF0000"/>
        </w:rPr>
        <w:t>S</w:t>
      </w:r>
      <w:r w:rsidRPr="00D84E8C">
        <w:rPr>
          <w:color w:val="FF0000"/>
          <w:vertAlign w:val="subscript"/>
        </w:rPr>
        <w:t>H2</w:t>
      </w:r>
      <w:r w:rsidRPr="00D84E8C">
        <w:rPr>
          <w:color w:val="FF0000"/>
        </w:rPr>
        <w:t>(</w:t>
      </w:r>
      <w:r w:rsidRPr="00D84E8C">
        <w:rPr>
          <w:i/>
          <w:iCs/>
          <w:color w:val="FF0000"/>
        </w:rPr>
        <w:t>E</w:t>
      </w:r>
      <w:r w:rsidRPr="00D84E8C">
        <w:rPr>
          <w:color w:val="FF0000"/>
        </w:rPr>
        <w:t xml:space="preserve">) </w:t>
      </w:r>
      <w:r w:rsidRPr="00B46F9A">
        <w:t xml:space="preserve">was </w:t>
      </w:r>
      <w:r w:rsidR="00800E46">
        <w:t>fitted with equation</w:t>
      </w:r>
      <w:r w:rsidR="00AA1B18">
        <w:t xml:space="preserve"> 2</w:t>
      </w:r>
      <w:r w:rsidRPr="00B46F9A">
        <w:t>.</w:t>
      </w:r>
      <w:r w:rsidR="00B55728">
        <w:t xml:space="preserve"> The s</w:t>
      </w:r>
      <w:r>
        <w:t xml:space="preserve">uccessful fit was obtained using two Lorentzian functions in addition to the resolution function (Fig. 3b). </w:t>
      </w:r>
      <w:r>
        <w:t>This demonstrates that H</w:t>
      </w:r>
      <w:r w:rsidRPr="00B46F9A">
        <w:rPr>
          <w:vertAlign w:val="subscript"/>
        </w:rPr>
        <w:t>2</w:t>
      </w:r>
      <w:r>
        <w:t xml:space="preserve"> self-diffusion with speed faster than previously reported exists in C-Mo</w:t>
      </w:r>
      <w:r w:rsidRPr="00B46F9A">
        <w:rPr>
          <w:vertAlign w:val="subscript"/>
        </w:rPr>
        <w:t>2</w:t>
      </w:r>
      <w:r>
        <w:t xml:space="preserve">C. </w:t>
      </w:r>
    </w:p>
    <w:p w14:paraId="53DB934D" w14:textId="5C9F47E2" w:rsidR="00B30F8B" w:rsidRDefault="00B30F8B" w:rsidP="000A1563">
      <w:pPr>
        <w:pStyle w:val="Paragraph"/>
      </w:pPr>
      <w:r>
        <w:t xml:space="preserve">Assuming </w:t>
      </w:r>
      <w:r w:rsidR="00B55728">
        <w:t xml:space="preserve">the </w:t>
      </w:r>
      <w:r>
        <w:t xml:space="preserve">rotational diffusion mechanism, the characteristic times were calculated based on the half-width half-maxima of the quasi-elastic broadening components (Table 4). It can be seen how the characteristic times for one full rotation </w:t>
      </w:r>
      <w:r w:rsidR="00831000" w:rsidRPr="00831000">
        <w:rPr>
          <w:color w:val="FF0000"/>
        </w:rPr>
        <w:t>decrease</w:t>
      </w:r>
      <w:r w:rsidRPr="00831000">
        <w:rPr>
          <w:color w:val="FF0000"/>
        </w:rPr>
        <w:t xml:space="preserve"> </w:t>
      </w:r>
      <w:r>
        <w:t>with the</w:t>
      </w:r>
      <w:r w:rsidR="00C643B2">
        <w:t xml:space="preserve"> </w:t>
      </w:r>
      <w:r w:rsidR="00C643B2" w:rsidRPr="00DE24EA">
        <w:rPr>
          <w:color w:val="FF0000"/>
        </w:rPr>
        <w:t>increase</w:t>
      </w:r>
      <w:r w:rsidR="00C643B2">
        <w:rPr>
          <w:color w:val="FF0000"/>
        </w:rPr>
        <w:t xml:space="preserve"> in</w:t>
      </w:r>
      <w:r>
        <w:t xml:space="preserve"> temperature. Further measurements are needed to ascertain the mechanism of H</w:t>
      </w:r>
      <w:r w:rsidRPr="00B30F8B">
        <w:rPr>
          <w:vertAlign w:val="subscript"/>
        </w:rPr>
        <w:t>2</w:t>
      </w:r>
      <w:r>
        <w:t xml:space="preserve"> diffusion </w:t>
      </w:r>
      <w:r w:rsidR="00B55728">
        <w:t>by</w:t>
      </w:r>
      <w:r>
        <w:t xml:space="preserve"> investigati</w:t>
      </w:r>
      <w:r w:rsidR="00B55728">
        <w:t>ng</w:t>
      </w:r>
      <w:r>
        <w:t xml:space="preserve"> the </w:t>
      </w:r>
      <w:r w:rsidRPr="00B30F8B">
        <w:rPr>
          <w:i/>
          <w:iCs/>
        </w:rPr>
        <w:t>Q</w:t>
      </w:r>
      <w:r>
        <w:t xml:space="preserve"> dependence of the quasi-elastic broadening signal.</w:t>
      </w:r>
    </w:p>
    <w:p w14:paraId="62F0D559" w14:textId="77777777" w:rsidR="00B30F8B" w:rsidRDefault="00B30F8B" w:rsidP="000A1563">
      <w:pPr>
        <w:pStyle w:val="Paragraph"/>
      </w:pPr>
    </w:p>
    <w:p w14:paraId="3A5BEBB7" w14:textId="3A33FCC9" w:rsidR="000B3E9C" w:rsidRPr="00036AC2" w:rsidRDefault="000B3E9C" w:rsidP="00800E46">
      <w:pPr>
        <w:pStyle w:val="TableCaption"/>
      </w:pPr>
      <w:r w:rsidRPr="00036AC2">
        <w:rPr>
          <w:b/>
          <w:bCs/>
        </w:rPr>
        <w:t xml:space="preserve">Table </w:t>
      </w:r>
      <w:r>
        <w:rPr>
          <w:b/>
          <w:bCs/>
        </w:rPr>
        <w:t>4</w:t>
      </w:r>
      <w:r w:rsidRPr="00036AC2">
        <w:rPr>
          <w:b/>
          <w:bCs/>
        </w:rPr>
        <w:t>.</w:t>
      </w:r>
      <w:r w:rsidRPr="00036AC2">
        <w:t xml:space="preserve"> </w:t>
      </w:r>
      <w:r w:rsidR="00B30F8B">
        <w:t xml:space="preserve">Assuming rotational diffusion, the characteristic time for one </w:t>
      </w:r>
      <w:r w:rsidR="00B30F8B" w:rsidRPr="00B55728">
        <w:rPr>
          <w:rFonts w:cs="Times"/>
        </w:rPr>
        <w:t>rotation of H</w:t>
      </w:r>
      <w:r w:rsidR="00B30F8B" w:rsidRPr="00B55728">
        <w:rPr>
          <w:rFonts w:cs="Times"/>
          <w:vertAlign w:val="subscript"/>
        </w:rPr>
        <w:t>2</w:t>
      </w:r>
      <w:r w:rsidR="000C650F" w:rsidRPr="00B55728">
        <w:rPr>
          <w:rFonts w:cs="Times"/>
        </w:rPr>
        <w:t>,</w:t>
      </w:r>
      <w:r w:rsidR="00B55728" w:rsidRPr="00B55728">
        <w:rPr>
          <w:rFonts w:cs="Times"/>
        </w:rPr>
        <w:t xml:space="preserve"> </w:t>
      </w:r>
      <w:r w:rsidR="000C650F" w:rsidRPr="00B55728">
        <w:rPr>
          <w:rFonts w:cs="Times"/>
          <w:i/>
        </w:rPr>
        <w:t>τ</w:t>
      </w:r>
      <w:r w:rsidR="000C650F" w:rsidRPr="00B55728">
        <w:rPr>
          <w:rFonts w:cs="Times"/>
          <w:vertAlign w:val="subscript"/>
        </w:rPr>
        <w:t>rot</w:t>
      </w:r>
      <w:r w:rsidR="00B55728" w:rsidRPr="00B55728">
        <w:rPr>
          <w:rFonts w:cs="Times"/>
        </w:rPr>
        <w:t xml:space="preserve">, </w:t>
      </w:r>
      <w:r w:rsidR="00B30F8B" w:rsidRPr="00B55728">
        <w:rPr>
          <w:rFonts w:cs="Times"/>
        </w:rPr>
        <w:t>in</w:t>
      </w:r>
      <w:r w:rsidR="00B30F8B">
        <w:t xml:space="preserve"> the pores of C-Mo</w:t>
      </w:r>
      <w:r w:rsidR="00B30F8B" w:rsidRPr="00B30F8B">
        <w:rPr>
          <w:vertAlign w:val="subscript"/>
        </w:rPr>
        <w:t>2</w:t>
      </w:r>
      <w:r w:rsidR="00B30F8B">
        <w:t>C was calculated</w:t>
      </w:r>
      <w:r>
        <w:t>.</w:t>
      </w:r>
    </w:p>
    <w:tbl>
      <w:tblPr>
        <w:tblW w:w="2689" w:type="dxa"/>
        <w:jc w:val="center"/>
        <w:tblLayout w:type="fixed"/>
        <w:tblLook w:val="0000" w:firstRow="0" w:lastRow="0" w:firstColumn="0" w:lastColumn="0" w:noHBand="0" w:noVBand="0"/>
      </w:tblPr>
      <w:tblGrid>
        <w:gridCol w:w="562"/>
        <w:gridCol w:w="993"/>
        <w:gridCol w:w="1134"/>
      </w:tblGrid>
      <w:tr w:rsidR="000B3E9C" w:rsidRPr="00036AC2" w14:paraId="628FAA71" w14:textId="77777777" w:rsidTr="000044FA">
        <w:trPr>
          <w:trHeight w:val="567"/>
          <w:jc w:val="center"/>
        </w:trPr>
        <w:tc>
          <w:tcPr>
            <w:tcW w:w="562" w:type="dxa"/>
            <w:tcBorders>
              <w:top w:val="single" w:sz="4" w:space="0" w:color="000000"/>
              <w:left w:val="single" w:sz="4" w:space="0" w:color="000000"/>
              <w:bottom w:val="single" w:sz="4" w:space="0" w:color="000000"/>
            </w:tcBorders>
            <w:vAlign w:val="center"/>
          </w:tcPr>
          <w:p w14:paraId="736E9B20" w14:textId="77777777" w:rsidR="000B3E9C" w:rsidRPr="00B55728" w:rsidRDefault="000B3E9C" w:rsidP="000044FA">
            <w:pPr>
              <w:pStyle w:val="TableHeadBold"/>
              <w:rPr>
                <w:rFonts w:cs="Times"/>
              </w:rPr>
            </w:pPr>
            <w:r w:rsidRPr="00DE24EA">
              <w:rPr>
                <w:rFonts w:cs="Times"/>
                <w:i/>
                <w:iCs/>
              </w:rPr>
              <w:t>T</w:t>
            </w:r>
            <w:r w:rsidRPr="00B55728">
              <w:rPr>
                <w:rFonts w:cs="Times"/>
              </w:rPr>
              <w:t xml:space="preserve"> </w:t>
            </w:r>
            <w:r w:rsidRPr="00B55728">
              <w:rPr>
                <w:rFonts w:cs="Times"/>
              </w:rPr>
              <w:br/>
              <w:t>K</w:t>
            </w:r>
          </w:p>
        </w:tc>
        <w:tc>
          <w:tcPr>
            <w:tcW w:w="993" w:type="dxa"/>
            <w:tcBorders>
              <w:top w:val="single" w:sz="4" w:space="0" w:color="000000"/>
              <w:left w:val="single" w:sz="4" w:space="0" w:color="000000"/>
              <w:bottom w:val="single" w:sz="4" w:space="0" w:color="000000"/>
              <w:right w:val="single" w:sz="4" w:space="0" w:color="000000"/>
            </w:tcBorders>
            <w:vAlign w:val="center"/>
          </w:tcPr>
          <w:p w14:paraId="75421E0C" w14:textId="77777777" w:rsidR="000B3E9C" w:rsidRPr="00B55728" w:rsidRDefault="000B3E9C" w:rsidP="000044FA">
            <w:pPr>
              <w:pStyle w:val="TableHeadBold"/>
              <w:rPr>
                <w:rFonts w:cs="Times"/>
              </w:rPr>
            </w:pPr>
            <w:r w:rsidRPr="00B55728">
              <w:rPr>
                <w:rFonts w:cs="Times"/>
              </w:rPr>
              <w:t>QE1,</w:t>
            </w:r>
            <w:r w:rsidRPr="00B55728">
              <w:rPr>
                <w:rFonts w:cs="Times"/>
                <w:i/>
                <w:iCs/>
              </w:rPr>
              <w:t xml:space="preserve"> τ</w:t>
            </w:r>
            <w:r w:rsidRPr="00B55728">
              <w:rPr>
                <w:rFonts w:cs="Times"/>
                <w:vertAlign w:val="subscript"/>
              </w:rPr>
              <w:t>rot</w:t>
            </w:r>
            <w:r w:rsidRPr="00B55728">
              <w:rPr>
                <w:rFonts w:cs="Times"/>
              </w:rPr>
              <w:br/>
              <w:t>ps</w:t>
            </w:r>
          </w:p>
        </w:tc>
        <w:tc>
          <w:tcPr>
            <w:tcW w:w="1134" w:type="dxa"/>
            <w:tcBorders>
              <w:top w:val="single" w:sz="4" w:space="0" w:color="000000"/>
              <w:left w:val="single" w:sz="4" w:space="0" w:color="000000"/>
              <w:bottom w:val="single" w:sz="4" w:space="0" w:color="000000"/>
              <w:right w:val="single" w:sz="4" w:space="0" w:color="000000"/>
            </w:tcBorders>
            <w:vAlign w:val="center"/>
          </w:tcPr>
          <w:p w14:paraId="0487A348" w14:textId="557B5ADA" w:rsidR="000B3E9C" w:rsidRPr="00B55728" w:rsidRDefault="000B3E9C" w:rsidP="000044FA">
            <w:pPr>
              <w:pStyle w:val="TableHeadBold"/>
              <w:rPr>
                <w:rFonts w:cs="Times"/>
              </w:rPr>
            </w:pPr>
            <w:r w:rsidRPr="00B55728">
              <w:rPr>
                <w:rFonts w:cs="Times"/>
              </w:rPr>
              <w:t>QE2</w:t>
            </w:r>
            <w:r w:rsidR="00B55728">
              <w:rPr>
                <w:rFonts w:cs="Times"/>
              </w:rPr>
              <w:t>,</w:t>
            </w:r>
            <w:r w:rsidRPr="00B55728">
              <w:rPr>
                <w:rFonts w:cs="Times"/>
              </w:rPr>
              <w:t xml:space="preserve"> </w:t>
            </w:r>
            <w:r w:rsidRPr="00B55728">
              <w:rPr>
                <w:rFonts w:cs="Times"/>
                <w:i/>
                <w:iCs/>
              </w:rPr>
              <w:t>τ</w:t>
            </w:r>
            <w:r w:rsidRPr="00B55728">
              <w:rPr>
                <w:rFonts w:cs="Times"/>
                <w:vertAlign w:val="subscript"/>
              </w:rPr>
              <w:t>rot</w:t>
            </w:r>
            <w:r w:rsidRPr="00B55728">
              <w:rPr>
                <w:rFonts w:cs="Times"/>
              </w:rPr>
              <w:t xml:space="preserve"> </w:t>
            </w:r>
            <w:r w:rsidRPr="00B55728">
              <w:rPr>
                <w:rFonts w:cs="Times"/>
              </w:rPr>
              <w:br/>
              <w:t>ps</w:t>
            </w:r>
          </w:p>
        </w:tc>
      </w:tr>
      <w:tr w:rsidR="000B3E9C" w:rsidRPr="00036AC2" w14:paraId="79218AC5" w14:textId="77777777" w:rsidTr="000044FA">
        <w:trPr>
          <w:trHeight w:val="567"/>
          <w:jc w:val="center"/>
        </w:trPr>
        <w:tc>
          <w:tcPr>
            <w:tcW w:w="562" w:type="dxa"/>
            <w:tcBorders>
              <w:top w:val="single" w:sz="4" w:space="0" w:color="000000"/>
              <w:left w:val="single" w:sz="4" w:space="0" w:color="000000"/>
              <w:bottom w:val="single" w:sz="4" w:space="0" w:color="000000"/>
            </w:tcBorders>
            <w:vAlign w:val="center"/>
          </w:tcPr>
          <w:p w14:paraId="3C8A8E1D" w14:textId="77777777" w:rsidR="000B3E9C" w:rsidRPr="00B55728" w:rsidRDefault="000B3E9C" w:rsidP="000044FA">
            <w:pPr>
              <w:pStyle w:val="Tablecontent"/>
              <w:rPr>
                <w:rFonts w:cs="Times"/>
              </w:rPr>
            </w:pPr>
            <w:r w:rsidRPr="00B55728">
              <w:rPr>
                <w:rFonts w:cs="Times"/>
              </w:rPr>
              <w:t>50</w:t>
            </w:r>
          </w:p>
        </w:tc>
        <w:tc>
          <w:tcPr>
            <w:tcW w:w="993" w:type="dxa"/>
            <w:tcBorders>
              <w:top w:val="single" w:sz="4" w:space="0" w:color="000000"/>
              <w:left w:val="single" w:sz="4" w:space="0" w:color="000000"/>
              <w:bottom w:val="single" w:sz="4" w:space="0" w:color="000000"/>
              <w:right w:val="single" w:sz="4" w:space="0" w:color="000000"/>
            </w:tcBorders>
            <w:vAlign w:val="center"/>
          </w:tcPr>
          <w:p w14:paraId="2A7AB8F1" w14:textId="77777777" w:rsidR="000B3E9C" w:rsidRPr="00B55728" w:rsidRDefault="000B3E9C" w:rsidP="000044FA">
            <w:pPr>
              <w:pStyle w:val="Tablecontent"/>
              <w:rPr>
                <w:rFonts w:cs="Times"/>
              </w:rPr>
            </w:pPr>
            <w:r w:rsidRPr="00B55728">
              <w:rPr>
                <w:rFonts w:cs="Times"/>
              </w:rPr>
              <w:t>18.5 ± 1.5</w:t>
            </w:r>
          </w:p>
        </w:tc>
        <w:tc>
          <w:tcPr>
            <w:tcW w:w="1134" w:type="dxa"/>
            <w:tcBorders>
              <w:top w:val="single" w:sz="4" w:space="0" w:color="000000"/>
              <w:left w:val="single" w:sz="4" w:space="0" w:color="000000"/>
              <w:bottom w:val="single" w:sz="4" w:space="0" w:color="000000"/>
              <w:right w:val="single" w:sz="4" w:space="0" w:color="000000"/>
            </w:tcBorders>
            <w:vAlign w:val="center"/>
          </w:tcPr>
          <w:p w14:paraId="4115B730" w14:textId="77777777" w:rsidR="000B3E9C" w:rsidRPr="00B55728" w:rsidRDefault="000B3E9C" w:rsidP="000044FA">
            <w:pPr>
              <w:pStyle w:val="Tablecontent"/>
              <w:rPr>
                <w:rFonts w:cs="Times"/>
              </w:rPr>
            </w:pPr>
            <w:r w:rsidRPr="00B55728">
              <w:rPr>
                <w:rFonts w:cs="Times"/>
              </w:rPr>
              <w:t>1.0 ± 0.1</w:t>
            </w:r>
          </w:p>
        </w:tc>
      </w:tr>
      <w:tr w:rsidR="000B3E9C" w:rsidRPr="00036AC2" w14:paraId="0058CD97" w14:textId="77777777" w:rsidTr="000044FA">
        <w:trPr>
          <w:trHeight w:val="567"/>
          <w:jc w:val="center"/>
        </w:trPr>
        <w:tc>
          <w:tcPr>
            <w:tcW w:w="562" w:type="dxa"/>
            <w:tcBorders>
              <w:top w:val="single" w:sz="4" w:space="0" w:color="000000"/>
              <w:left w:val="single" w:sz="4" w:space="0" w:color="000000"/>
              <w:bottom w:val="single" w:sz="4" w:space="0" w:color="000000"/>
            </w:tcBorders>
            <w:vAlign w:val="center"/>
          </w:tcPr>
          <w:p w14:paraId="16D59BB5" w14:textId="77777777" w:rsidR="000B3E9C" w:rsidRPr="00B55728" w:rsidRDefault="000B3E9C" w:rsidP="000044FA">
            <w:pPr>
              <w:pStyle w:val="Tablecontent"/>
              <w:rPr>
                <w:rFonts w:cs="Times"/>
              </w:rPr>
            </w:pPr>
            <w:r w:rsidRPr="00B55728">
              <w:rPr>
                <w:rFonts w:cs="Times"/>
              </w:rPr>
              <w:t>70</w:t>
            </w:r>
          </w:p>
        </w:tc>
        <w:tc>
          <w:tcPr>
            <w:tcW w:w="993" w:type="dxa"/>
            <w:tcBorders>
              <w:top w:val="single" w:sz="4" w:space="0" w:color="000000"/>
              <w:left w:val="single" w:sz="4" w:space="0" w:color="000000"/>
              <w:bottom w:val="single" w:sz="4" w:space="0" w:color="000000"/>
              <w:right w:val="single" w:sz="4" w:space="0" w:color="000000"/>
            </w:tcBorders>
            <w:vAlign w:val="center"/>
          </w:tcPr>
          <w:p w14:paraId="1BC33736" w14:textId="77777777" w:rsidR="000B3E9C" w:rsidRPr="00B55728" w:rsidRDefault="000B3E9C" w:rsidP="000044FA">
            <w:pPr>
              <w:pStyle w:val="Tablecontent"/>
              <w:rPr>
                <w:rFonts w:cs="Times"/>
              </w:rPr>
            </w:pPr>
            <w:r w:rsidRPr="00B55728">
              <w:rPr>
                <w:rFonts w:cs="Times"/>
              </w:rPr>
              <w:t>6.9 ± 0.2</w:t>
            </w:r>
          </w:p>
        </w:tc>
        <w:tc>
          <w:tcPr>
            <w:tcW w:w="1134" w:type="dxa"/>
            <w:tcBorders>
              <w:top w:val="single" w:sz="4" w:space="0" w:color="000000"/>
              <w:left w:val="single" w:sz="4" w:space="0" w:color="000000"/>
              <w:bottom w:val="single" w:sz="4" w:space="0" w:color="000000"/>
              <w:right w:val="single" w:sz="4" w:space="0" w:color="000000"/>
            </w:tcBorders>
            <w:vAlign w:val="center"/>
          </w:tcPr>
          <w:p w14:paraId="2B29DEE5" w14:textId="77777777" w:rsidR="000B3E9C" w:rsidRPr="00B55728" w:rsidRDefault="000B3E9C" w:rsidP="000044FA">
            <w:pPr>
              <w:pStyle w:val="Tablecontent"/>
              <w:rPr>
                <w:rFonts w:cs="Times"/>
              </w:rPr>
            </w:pPr>
            <w:r w:rsidRPr="00B55728">
              <w:rPr>
                <w:rFonts w:cs="Times"/>
              </w:rPr>
              <w:t>0.5 ± 0.1</w:t>
            </w:r>
          </w:p>
        </w:tc>
      </w:tr>
      <w:tr w:rsidR="000B3E9C" w:rsidRPr="00036AC2" w14:paraId="5B326293" w14:textId="77777777" w:rsidTr="000044FA">
        <w:trPr>
          <w:trHeight w:val="567"/>
          <w:jc w:val="center"/>
        </w:trPr>
        <w:tc>
          <w:tcPr>
            <w:tcW w:w="562" w:type="dxa"/>
            <w:tcBorders>
              <w:top w:val="single" w:sz="4" w:space="0" w:color="000000"/>
              <w:left w:val="single" w:sz="4" w:space="0" w:color="000000"/>
              <w:bottom w:val="single" w:sz="4" w:space="0" w:color="000000"/>
            </w:tcBorders>
            <w:vAlign w:val="center"/>
          </w:tcPr>
          <w:p w14:paraId="69D3B786" w14:textId="77777777" w:rsidR="000B3E9C" w:rsidRPr="00B55728" w:rsidRDefault="000B3E9C" w:rsidP="000044FA">
            <w:pPr>
              <w:pStyle w:val="Tablecontent"/>
              <w:rPr>
                <w:rFonts w:cs="Times"/>
              </w:rPr>
            </w:pPr>
            <w:r w:rsidRPr="00B55728">
              <w:rPr>
                <w:rFonts w:cs="Times"/>
              </w:rPr>
              <w:t>120</w:t>
            </w:r>
          </w:p>
        </w:tc>
        <w:tc>
          <w:tcPr>
            <w:tcW w:w="993" w:type="dxa"/>
            <w:tcBorders>
              <w:top w:val="single" w:sz="4" w:space="0" w:color="000000"/>
              <w:left w:val="single" w:sz="4" w:space="0" w:color="000000"/>
              <w:bottom w:val="single" w:sz="4" w:space="0" w:color="000000"/>
              <w:right w:val="single" w:sz="4" w:space="0" w:color="000000"/>
            </w:tcBorders>
            <w:vAlign w:val="center"/>
          </w:tcPr>
          <w:p w14:paraId="7A348D2F" w14:textId="77777777" w:rsidR="000B3E9C" w:rsidRPr="00B55728" w:rsidRDefault="000B3E9C" w:rsidP="000044FA">
            <w:pPr>
              <w:pStyle w:val="Tablecontent"/>
              <w:rPr>
                <w:rFonts w:cs="Times"/>
              </w:rPr>
            </w:pPr>
            <w:r w:rsidRPr="00B55728">
              <w:rPr>
                <w:rFonts w:cs="Times"/>
              </w:rPr>
              <w:t>4.8 ± 0.2</w:t>
            </w:r>
          </w:p>
        </w:tc>
        <w:tc>
          <w:tcPr>
            <w:tcW w:w="1134" w:type="dxa"/>
            <w:tcBorders>
              <w:top w:val="single" w:sz="4" w:space="0" w:color="000000"/>
              <w:left w:val="single" w:sz="4" w:space="0" w:color="000000"/>
              <w:bottom w:val="single" w:sz="4" w:space="0" w:color="000000"/>
              <w:right w:val="single" w:sz="4" w:space="0" w:color="000000"/>
            </w:tcBorders>
            <w:vAlign w:val="center"/>
          </w:tcPr>
          <w:p w14:paraId="4D1935D1" w14:textId="77777777" w:rsidR="000B3E9C" w:rsidRPr="00B55728" w:rsidRDefault="000B3E9C" w:rsidP="000044FA">
            <w:pPr>
              <w:pStyle w:val="Tablecontent"/>
              <w:rPr>
                <w:rFonts w:cs="Times"/>
              </w:rPr>
            </w:pPr>
            <w:r w:rsidRPr="00B55728">
              <w:rPr>
                <w:rFonts w:cs="Times"/>
              </w:rPr>
              <w:t>0.5 ± 0.1</w:t>
            </w:r>
          </w:p>
        </w:tc>
      </w:tr>
    </w:tbl>
    <w:p w14:paraId="598E122B" w14:textId="77777777" w:rsidR="000B3E9C" w:rsidRPr="000A1563" w:rsidRDefault="000B3E9C" w:rsidP="000A1563">
      <w:pPr>
        <w:pStyle w:val="Paragraph"/>
      </w:pPr>
    </w:p>
    <w:p w14:paraId="74C5D5F6" w14:textId="71D16352" w:rsidR="000A1563" w:rsidRDefault="000A1563" w:rsidP="000A1563">
      <w:pPr>
        <w:pStyle w:val="Section"/>
        <w:numPr>
          <w:ilvl w:val="0"/>
          <w:numId w:val="0"/>
        </w:numPr>
      </w:pPr>
      <w:r>
        <w:t>Conclusions</w:t>
      </w:r>
    </w:p>
    <w:p w14:paraId="71C16C42" w14:textId="01423EEB" w:rsidR="000C650F" w:rsidRDefault="001D38E4" w:rsidP="00824A3B">
      <w:pPr>
        <w:pStyle w:val="Paragraph"/>
      </w:pPr>
      <w:r>
        <w:t>The</w:t>
      </w:r>
      <w:r w:rsidR="00B55728">
        <w:t xml:space="preserve"> </w:t>
      </w:r>
      <w:r w:rsidR="00B55728" w:rsidRPr="00B55728">
        <w:t>graphitic structure of the porous carbon material affected the transition from ortho to para hydrogen</w:t>
      </w:r>
      <w:r>
        <w:t xml:space="preserve">. C-TiC was the most disordered </w:t>
      </w:r>
      <w:r w:rsidR="00824A3B">
        <w:t xml:space="preserve">of the studied </w:t>
      </w:r>
      <w:r>
        <w:t xml:space="preserve">CDC </w:t>
      </w:r>
      <w:r w:rsidR="00824A3B">
        <w:t>materials</w:t>
      </w:r>
      <w:r w:rsidR="00582028">
        <w:t xml:space="preserve"> and </w:t>
      </w:r>
      <w:r w:rsidR="00824A3B">
        <w:t xml:space="preserve">the only one for which </w:t>
      </w:r>
      <w:r>
        <w:t xml:space="preserve">the </w:t>
      </w:r>
      <w:r w:rsidR="00B30F8B">
        <w:t>o</w:t>
      </w:r>
      <w:r w:rsidRPr="00382D8E">
        <w:rPr>
          <w:rFonts w:ascii="Arial" w:hAnsi="Arial" w:cs="Arial"/>
        </w:rPr>
        <w:t>→</w:t>
      </w:r>
      <w:r w:rsidR="00B30F8B">
        <w:t>p</w:t>
      </w:r>
      <w:r>
        <w:t xml:space="preserve"> transition band of H</w:t>
      </w:r>
      <w:r w:rsidRPr="001D38E4">
        <w:rPr>
          <w:vertAlign w:val="subscript"/>
        </w:rPr>
        <w:t>2</w:t>
      </w:r>
      <w:r>
        <w:t xml:space="preserve"> was seen at 10 K</w:t>
      </w:r>
      <w:r w:rsidR="00824A3B">
        <w:t>.</w:t>
      </w:r>
      <w:r w:rsidR="00582028">
        <w:t xml:space="preserve"> </w:t>
      </w:r>
      <w:r w:rsidR="00A054E0">
        <w:t>Moreover, there were evidence of H</w:t>
      </w:r>
      <w:r w:rsidR="00A054E0" w:rsidRPr="00824A3B">
        <w:rPr>
          <w:vertAlign w:val="subscript"/>
        </w:rPr>
        <w:t>2</w:t>
      </w:r>
      <w:r w:rsidR="00A054E0">
        <w:t xml:space="preserve"> rotation being strongly affected by the anisotropic adsorption potential in the pores of C-TiC. </w:t>
      </w:r>
      <w:r w:rsidR="00582028">
        <w:t xml:space="preserve">This finding can have an impact on the practical application since it would be preferable to keep hydrogen in the ortho state. </w:t>
      </w:r>
      <w:r w:rsidR="00B55728">
        <w:t>Namely, storing H</w:t>
      </w:r>
      <w:r w:rsidR="00B55728" w:rsidRPr="00582028">
        <w:rPr>
          <w:vertAlign w:val="subscript"/>
        </w:rPr>
        <w:t>2</w:t>
      </w:r>
      <w:r w:rsidR="00B55728">
        <w:t xml:space="preserve"> in the ortho form would help avoid heat generation that comes from ortho to para transition during hydrogen storage in cryo-adsorption systems.</w:t>
      </w:r>
    </w:p>
    <w:p w14:paraId="7B50718E" w14:textId="26CEAFCC" w:rsidR="0045083C" w:rsidRDefault="00824A3B" w:rsidP="00FC0264">
      <w:pPr>
        <w:pStyle w:val="Paragraph"/>
        <w:ind w:firstLine="0"/>
      </w:pPr>
      <w:r>
        <w:t>In addition, H</w:t>
      </w:r>
      <w:r w:rsidRPr="00824A3B">
        <w:rPr>
          <w:vertAlign w:val="subscript"/>
        </w:rPr>
        <w:t>2</w:t>
      </w:r>
      <w:r>
        <w:t xml:space="preserve"> </w:t>
      </w:r>
      <w:r w:rsidR="00A054E0">
        <w:t xml:space="preserve">self-diffusion in different timescales </w:t>
      </w:r>
      <w:r>
        <w:t>was seen in the case of C-Mo</w:t>
      </w:r>
      <w:r w:rsidRPr="00824A3B">
        <w:rPr>
          <w:vertAlign w:val="subscript"/>
        </w:rPr>
        <w:t>2</w:t>
      </w:r>
      <w:r>
        <w:t>C at</w:t>
      </w:r>
      <w:r w:rsidR="00A054E0">
        <w:t xml:space="preserve"> temperatures over 25 K</w:t>
      </w:r>
      <w:r>
        <w:t>.</w:t>
      </w:r>
      <w:r w:rsidR="00A054E0">
        <w:t xml:space="preserve"> This gives </w:t>
      </w:r>
      <w:r w:rsidR="00B55728">
        <w:t xml:space="preserve">the </w:t>
      </w:r>
      <w:r w:rsidR="00A054E0">
        <w:t>incentive to study the self-diffusion of H</w:t>
      </w:r>
      <w:r w:rsidR="00A054E0" w:rsidRPr="00A054E0">
        <w:rPr>
          <w:vertAlign w:val="subscript"/>
        </w:rPr>
        <w:t>2</w:t>
      </w:r>
      <w:r w:rsidR="00A054E0">
        <w:t xml:space="preserve"> in the pores of carbon material in </w:t>
      </w:r>
      <w:r w:rsidR="00B55728">
        <w:t xml:space="preserve">a </w:t>
      </w:r>
      <w:r w:rsidR="00A054E0">
        <w:t xml:space="preserve">wider energy transfer window in the future. </w:t>
      </w:r>
    </w:p>
    <w:p w14:paraId="596E0940" w14:textId="72E6120F" w:rsidR="0045083C" w:rsidRPr="0045083C" w:rsidRDefault="0045083C" w:rsidP="0045083C">
      <w:pPr>
        <w:pStyle w:val="Section0"/>
        <w:rPr>
          <w:lang w:val="en-US"/>
        </w:rPr>
      </w:pPr>
      <w:r w:rsidRPr="0045083C">
        <w:rPr>
          <w:lang w:val="en-US"/>
        </w:rPr>
        <w:t>Acknowledgements</w:t>
      </w:r>
    </w:p>
    <w:p w14:paraId="0EB67E0D" w14:textId="094BEEF1" w:rsidR="0045083C" w:rsidRPr="00C7190F" w:rsidRDefault="00F20B62" w:rsidP="00C7190F">
      <w:pPr>
        <w:pStyle w:val="pf0"/>
        <w:jc w:val="both"/>
        <w:rPr>
          <w:sz w:val="20"/>
          <w:szCs w:val="20"/>
        </w:rPr>
      </w:pPr>
      <w:r w:rsidRPr="00C7190F">
        <w:rPr>
          <w:sz w:val="20"/>
          <w:szCs w:val="20"/>
        </w:rPr>
        <w:t xml:space="preserve">The sample holder was designed by Dr. Dirk Wallacher from Helmholtz-Zentrum Berlin für Materialien und Energie Probenumgebung. </w:t>
      </w:r>
      <w:r w:rsidR="00C7190F" w:rsidRPr="00C7190F">
        <w:rPr>
          <w:sz w:val="20"/>
          <w:szCs w:val="20"/>
        </w:rPr>
        <w:t>Paul Scherrer Institute is thanked for beamtime on FOCUS. The authors would like to thank Marek Bartkowiak for his help during the experiment at PSI</w:t>
      </w:r>
      <w:r w:rsidR="00C7190F">
        <w:rPr>
          <w:sz w:val="20"/>
          <w:szCs w:val="20"/>
        </w:rPr>
        <w:t>. T</w:t>
      </w:r>
      <w:r w:rsidR="00C7190F" w:rsidRPr="00C7190F">
        <w:rPr>
          <w:sz w:val="20"/>
          <w:szCs w:val="20"/>
        </w:rPr>
        <w:t xml:space="preserve">his research was supported by the EU through the European Regional Development Fund (Centers of Excellence, TK141 20142020.4.01.15-0011 and TK117 3.2.0101e0030); European Spallation Source: Estonian Participation in ESS Instrument design, development and building and application for </w:t>
      </w:r>
      <w:r w:rsidR="00C7190F" w:rsidRPr="00C7190F">
        <w:rPr>
          <w:sz w:val="20"/>
          <w:szCs w:val="20"/>
        </w:rPr>
        <w:lastRenderedPageBreak/>
        <w:t>scientific research SLOKT12026T and SLTKT16432T and Graduate School of Functional materials and technologies receiving funding from the European Regional Development Fund in University of Tartu, Estonia. This work has been also partially supported by Estonian Research Council Institutional Research Grant IUT20e13 and personal research grants PUT55 and PUT1033.</w:t>
      </w:r>
    </w:p>
    <w:p w14:paraId="1A214FA1" w14:textId="23BF1643" w:rsidR="00DB3B4E" w:rsidRPr="00D918FF" w:rsidRDefault="00DB3B4E" w:rsidP="006B7025">
      <w:pPr>
        <w:pStyle w:val="Section0"/>
        <w:rPr>
          <w:lang w:val="fr-FR"/>
        </w:rPr>
      </w:pPr>
      <w:r w:rsidRPr="00D918FF">
        <w:rPr>
          <w:lang w:val="fr-FR"/>
        </w:rPr>
        <w:t>References</w:t>
      </w:r>
    </w:p>
    <w:p w14:paraId="2A102706" w14:textId="5C9E2CF2" w:rsidR="00724FD6" w:rsidRPr="00724FD6" w:rsidRDefault="00724FD6" w:rsidP="00166C77">
      <w:pPr>
        <w:pStyle w:val="Bibliograafia"/>
        <w:jc w:val="both"/>
        <w:rPr>
          <w:rFonts w:ascii="Times New Roman" w:hAnsi="Times New Roman" w:cs="Times New Roman"/>
          <w:sz w:val="20"/>
          <w:lang w:val="en-US"/>
        </w:rPr>
      </w:pPr>
      <w:r w:rsidRPr="00652925">
        <w:rPr>
          <w:rFonts w:ascii="Times New Roman" w:hAnsi="Times New Roman" w:cs="Times New Roman"/>
          <w:sz w:val="20"/>
        </w:rPr>
        <w:t xml:space="preserve">1. </w:t>
      </w:r>
      <w:r w:rsidRPr="00652925">
        <w:rPr>
          <w:rFonts w:ascii="Times New Roman" w:hAnsi="Times New Roman" w:cs="Times New Roman"/>
          <w:sz w:val="20"/>
        </w:rPr>
        <w:tab/>
      </w:r>
      <w:r w:rsidR="00A865F6" w:rsidRPr="00652925">
        <w:rPr>
          <w:rFonts w:ascii="Times New Roman" w:hAnsi="Times New Roman" w:cs="Times New Roman"/>
          <w:sz w:val="20"/>
        </w:rPr>
        <w:t xml:space="preserve">V. </w:t>
      </w:r>
      <w:r w:rsidRPr="00652925">
        <w:rPr>
          <w:rFonts w:ascii="Times New Roman" w:hAnsi="Times New Roman" w:cs="Times New Roman"/>
          <w:sz w:val="20"/>
        </w:rPr>
        <w:t>Dias</w:t>
      </w:r>
      <w:r w:rsidR="00A865F6" w:rsidRPr="00652925">
        <w:rPr>
          <w:rFonts w:ascii="Times New Roman" w:hAnsi="Times New Roman" w:cs="Times New Roman"/>
          <w:sz w:val="20"/>
        </w:rPr>
        <w:t>, M.</w:t>
      </w:r>
      <w:r w:rsidRPr="00652925">
        <w:rPr>
          <w:rFonts w:ascii="Times New Roman" w:hAnsi="Times New Roman" w:cs="Times New Roman"/>
          <w:sz w:val="20"/>
        </w:rPr>
        <w:t xml:space="preserve"> Pochet, </w:t>
      </w:r>
      <w:r w:rsidR="00A865F6" w:rsidRPr="00652925">
        <w:rPr>
          <w:rFonts w:ascii="Times New Roman" w:hAnsi="Times New Roman" w:cs="Times New Roman"/>
          <w:sz w:val="20"/>
        </w:rPr>
        <w:t xml:space="preserve">F. </w:t>
      </w:r>
      <w:r w:rsidRPr="00652925">
        <w:rPr>
          <w:rFonts w:ascii="Times New Roman" w:hAnsi="Times New Roman" w:cs="Times New Roman"/>
          <w:sz w:val="20"/>
        </w:rPr>
        <w:t>Contino,</w:t>
      </w:r>
      <w:r w:rsidR="00A865F6" w:rsidRPr="00652925">
        <w:rPr>
          <w:rFonts w:ascii="Times New Roman" w:hAnsi="Times New Roman" w:cs="Times New Roman"/>
          <w:sz w:val="20"/>
        </w:rPr>
        <w:t xml:space="preserve"> H.</w:t>
      </w:r>
      <w:r w:rsidRPr="00652925">
        <w:rPr>
          <w:rFonts w:ascii="Times New Roman" w:hAnsi="Times New Roman" w:cs="Times New Roman"/>
          <w:sz w:val="20"/>
        </w:rPr>
        <w:t xml:space="preserve"> Jeanmart, </w:t>
      </w:r>
      <w:r w:rsidR="00A865F6" w:rsidRPr="00652925">
        <w:rPr>
          <w:rFonts w:ascii="Times New Roman" w:hAnsi="Times New Roman" w:cs="Times New Roman"/>
          <w:sz w:val="20"/>
        </w:rPr>
        <w:t xml:space="preserve">Front. </w:t>
      </w:r>
      <w:r w:rsidR="00A865F6" w:rsidRPr="00A865F6">
        <w:rPr>
          <w:rFonts w:ascii="Times New Roman" w:hAnsi="Times New Roman" w:cs="Times New Roman"/>
          <w:sz w:val="20"/>
          <w:lang w:val="en-US"/>
        </w:rPr>
        <w:t>Mech. Eng.</w:t>
      </w:r>
      <w:r w:rsidR="00A865F6">
        <w:rPr>
          <w:rFonts w:ascii="Times New Roman" w:hAnsi="Times New Roman" w:cs="Times New Roman"/>
          <w:sz w:val="20"/>
          <w:lang w:val="en-US"/>
        </w:rPr>
        <w:t>,</w:t>
      </w:r>
      <w:r w:rsidR="00A865F6" w:rsidRPr="00A865F6">
        <w:rPr>
          <w:rFonts w:ascii="Times New Roman" w:hAnsi="Times New Roman" w:cs="Times New Roman"/>
          <w:sz w:val="20"/>
          <w:lang w:val="en-US"/>
        </w:rPr>
        <w:t xml:space="preserve"> </w:t>
      </w:r>
      <w:r w:rsidRPr="00A865F6">
        <w:rPr>
          <w:rFonts w:ascii="Times New Roman" w:hAnsi="Times New Roman" w:cs="Times New Roman"/>
          <w:b/>
          <w:bCs/>
          <w:sz w:val="20"/>
          <w:lang w:val="en-US"/>
        </w:rPr>
        <w:t>6</w:t>
      </w:r>
      <w:r w:rsidR="00A865F6" w:rsidRPr="00A865F6">
        <w:rPr>
          <w:rFonts w:ascii="Times New Roman" w:hAnsi="Times New Roman" w:cs="Times New Roman"/>
          <w:sz w:val="20"/>
          <w:lang w:val="en-US"/>
        </w:rPr>
        <w:t xml:space="preserve"> (2020)</w:t>
      </w:r>
    </w:p>
    <w:p w14:paraId="48B5E76C" w14:textId="41C946D7" w:rsidR="00724FD6" w:rsidRPr="00724FD6" w:rsidRDefault="00724FD6" w:rsidP="00554551">
      <w:pPr>
        <w:pStyle w:val="Bibliograafia"/>
        <w:jc w:val="both"/>
        <w:rPr>
          <w:rFonts w:ascii="Times New Roman" w:hAnsi="Times New Roman" w:cs="Times New Roman"/>
          <w:sz w:val="20"/>
          <w:lang w:val="en-US"/>
        </w:rPr>
      </w:pPr>
      <w:r w:rsidRPr="00724FD6">
        <w:rPr>
          <w:rFonts w:ascii="Times New Roman" w:hAnsi="Times New Roman" w:cs="Times New Roman"/>
          <w:sz w:val="20"/>
          <w:lang w:val="en-US"/>
        </w:rPr>
        <w:t xml:space="preserve">2. </w:t>
      </w:r>
      <w:r w:rsidRPr="00724FD6">
        <w:rPr>
          <w:rFonts w:ascii="Times New Roman" w:hAnsi="Times New Roman" w:cs="Times New Roman"/>
          <w:sz w:val="20"/>
          <w:lang w:val="en-US"/>
        </w:rPr>
        <w:tab/>
      </w:r>
      <w:r w:rsidR="00A865F6">
        <w:rPr>
          <w:rFonts w:ascii="Times New Roman" w:hAnsi="Times New Roman" w:cs="Times New Roman"/>
          <w:sz w:val="20"/>
          <w:lang w:val="en-US"/>
        </w:rPr>
        <w:t xml:space="preserve">D.P. </w:t>
      </w:r>
      <w:r w:rsidRPr="00724FD6">
        <w:rPr>
          <w:rFonts w:ascii="Times New Roman" w:hAnsi="Times New Roman" w:cs="Times New Roman"/>
          <w:sz w:val="20"/>
          <w:lang w:val="en-US"/>
        </w:rPr>
        <w:t xml:space="preserve">Broom, </w:t>
      </w:r>
      <w:r w:rsidR="00A865F6">
        <w:rPr>
          <w:rFonts w:ascii="Times New Roman" w:hAnsi="Times New Roman" w:cs="Times New Roman"/>
          <w:sz w:val="20"/>
          <w:lang w:val="en-US"/>
        </w:rPr>
        <w:t xml:space="preserve">C.J. </w:t>
      </w:r>
      <w:r w:rsidRPr="00724FD6">
        <w:rPr>
          <w:rFonts w:ascii="Times New Roman" w:hAnsi="Times New Roman" w:cs="Times New Roman"/>
          <w:sz w:val="20"/>
          <w:lang w:val="en-US"/>
        </w:rPr>
        <w:t xml:space="preserve">Webb, </w:t>
      </w:r>
      <w:r w:rsidR="00A865F6">
        <w:rPr>
          <w:rFonts w:ascii="Times New Roman" w:hAnsi="Times New Roman" w:cs="Times New Roman"/>
          <w:sz w:val="20"/>
          <w:lang w:val="en-US"/>
        </w:rPr>
        <w:t xml:space="preserve">K.E. </w:t>
      </w:r>
      <w:r w:rsidRPr="00724FD6">
        <w:rPr>
          <w:rFonts w:ascii="Times New Roman" w:hAnsi="Times New Roman" w:cs="Times New Roman"/>
          <w:sz w:val="20"/>
          <w:lang w:val="en-US"/>
        </w:rPr>
        <w:t>Hurst,</w:t>
      </w:r>
      <w:r w:rsidR="00A865F6">
        <w:rPr>
          <w:rFonts w:ascii="Times New Roman" w:hAnsi="Times New Roman" w:cs="Times New Roman"/>
          <w:sz w:val="20"/>
          <w:lang w:val="en-US"/>
        </w:rPr>
        <w:t xml:space="preserve"> P.A.</w:t>
      </w:r>
      <w:r w:rsidRPr="00724FD6">
        <w:rPr>
          <w:rFonts w:ascii="Times New Roman" w:hAnsi="Times New Roman" w:cs="Times New Roman"/>
          <w:sz w:val="20"/>
          <w:lang w:val="en-US"/>
        </w:rPr>
        <w:t xml:space="preserve"> Parilla,</w:t>
      </w:r>
      <w:r w:rsidR="00A865F6">
        <w:rPr>
          <w:rFonts w:ascii="Times New Roman" w:hAnsi="Times New Roman" w:cs="Times New Roman"/>
          <w:sz w:val="20"/>
          <w:lang w:val="en-US"/>
        </w:rPr>
        <w:t xml:space="preserve"> T. </w:t>
      </w:r>
      <w:r w:rsidRPr="00724FD6">
        <w:rPr>
          <w:rFonts w:ascii="Times New Roman" w:hAnsi="Times New Roman" w:cs="Times New Roman"/>
          <w:sz w:val="20"/>
          <w:lang w:val="en-US"/>
        </w:rPr>
        <w:t xml:space="preserve"> Gennett, </w:t>
      </w:r>
      <w:r w:rsidR="00A865F6">
        <w:rPr>
          <w:rFonts w:ascii="Times New Roman" w:hAnsi="Times New Roman" w:cs="Times New Roman"/>
          <w:sz w:val="20"/>
          <w:lang w:val="en-US"/>
        </w:rPr>
        <w:t>C.M.</w:t>
      </w:r>
      <w:r w:rsidRPr="00724FD6">
        <w:rPr>
          <w:rFonts w:ascii="Times New Roman" w:hAnsi="Times New Roman" w:cs="Times New Roman"/>
          <w:sz w:val="20"/>
          <w:lang w:val="en-US"/>
        </w:rPr>
        <w:t xml:space="preserve"> Brown, </w:t>
      </w:r>
      <w:r w:rsidR="00A865F6">
        <w:rPr>
          <w:rFonts w:ascii="Times New Roman" w:hAnsi="Times New Roman" w:cs="Times New Roman"/>
          <w:sz w:val="20"/>
          <w:lang w:val="en-US"/>
        </w:rPr>
        <w:t xml:space="preserve">R. </w:t>
      </w:r>
      <w:r w:rsidRPr="00724FD6">
        <w:rPr>
          <w:rFonts w:ascii="Times New Roman" w:hAnsi="Times New Roman" w:cs="Times New Roman"/>
          <w:sz w:val="20"/>
          <w:lang w:val="en-US"/>
        </w:rPr>
        <w:t xml:space="preserve">Zacharia, </w:t>
      </w:r>
      <w:r w:rsidR="00A865F6">
        <w:rPr>
          <w:rFonts w:ascii="Times New Roman" w:hAnsi="Times New Roman" w:cs="Times New Roman"/>
          <w:sz w:val="20"/>
          <w:lang w:val="en-US"/>
        </w:rPr>
        <w:t xml:space="preserve">E. </w:t>
      </w:r>
      <w:r w:rsidRPr="00724FD6">
        <w:rPr>
          <w:rFonts w:ascii="Times New Roman" w:hAnsi="Times New Roman" w:cs="Times New Roman"/>
          <w:sz w:val="20"/>
          <w:lang w:val="en-US"/>
        </w:rPr>
        <w:t xml:space="preserve">Tylianakis, </w:t>
      </w:r>
      <w:r w:rsidR="00A865F6">
        <w:rPr>
          <w:rFonts w:ascii="Times New Roman" w:hAnsi="Times New Roman" w:cs="Times New Roman"/>
          <w:sz w:val="20"/>
          <w:lang w:val="en-US"/>
        </w:rPr>
        <w:t>E.</w:t>
      </w:r>
      <w:r w:rsidRPr="00724FD6">
        <w:rPr>
          <w:rFonts w:ascii="Times New Roman" w:hAnsi="Times New Roman" w:cs="Times New Roman"/>
          <w:sz w:val="20"/>
          <w:lang w:val="en-US"/>
        </w:rPr>
        <w:t xml:space="preserve"> Klontzas, </w:t>
      </w:r>
      <w:r w:rsidR="00A865F6">
        <w:rPr>
          <w:rFonts w:ascii="Times New Roman" w:hAnsi="Times New Roman" w:cs="Times New Roman"/>
          <w:sz w:val="20"/>
          <w:lang w:val="en-US"/>
        </w:rPr>
        <w:t>G.E.</w:t>
      </w:r>
      <w:r w:rsidRPr="00724FD6">
        <w:rPr>
          <w:rFonts w:ascii="Times New Roman" w:hAnsi="Times New Roman" w:cs="Times New Roman"/>
          <w:sz w:val="20"/>
          <w:lang w:val="en-US"/>
        </w:rPr>
        <w:t xml:space="preserve"> Froudakis et al.</w:t>
      </w:r>
      <w:r w:rsidR="00A865F6">
        <w:rPr>
          <w:rFonts w:ascii="Times New Roman" w:hAnsi="Times New Roman" w:cs="Times New Roman"/>
          <w:sz w:val="20"/>
          <w:lang w:val="en-US"/>
        </w:rPr>
        <w:t xml:space="preserve">, </w:t>
      </w:r>
      <w:r w:rsidRPr="00A865F6">
        <w:rPr>
          <w:rFonts w:ascii="Times New Roman" w:hAnsi="Times New Roman" w:cs="Times New Roman"/>
          <w:sz w:val="20"/>
          <w:lang w:val="en-US"/>
        </w:rPr>
        <w:t>Appl. Phys. A</w:t>
      </w:r>
      <w:r w:rsidR="00A865F6">
        <w:rPr>
          <w:rFonts w:ascii="Times New Roman" w:hAnsi="Times New Roman" w:cs="Times New Roman"/>
          <w:sz w:val="20"/>
          <w:lang w:val="en-US"/>
        </w:rPr>
        <w:t xml:space="preserve">, </w:t>
      </w:r>
      <w:r w:rsidR="00A865F6" w:rsidRPr="00573C01">
        <w:rPr>
          <w:rFonts w:ascii="Times New Roman" w:hAnsi="Times New Roman" w:cs="Times New Roman"/>
          <w:b/>
          <w:bCs/>
          <w:sz w:val="20"/>
          <w:lang w:val="en-US"/>
        </w:rPr>
        <w:t>122</w:t>
      </w:r>
      <w:r w:rsidRPr="00724FD6">
        <w:rPr>
          <w:rFonts w:ascii="Times New Roman" w:hAnsi="Times New Roman" w:cs="Times New Roman"/>
          <w:sz w:val="20"/>
          <w:lang w:val="en-US"/>
        </w:rPr>
        <w:t xml:space="preserve"> </w:t>
      </w:r>
      <w:r w:rsidR="00A865F6" w:rsidRPr="00573C01">
        <w:rPr>
          <w:rFonts w:ascii="Times New Roman" w:hAnsi="Times New Roman" w:cs="Times New Roman"/>
          <w:sz w:val="20"/>
          <w:lang w:val="en-US"/>
        </w:rPr>
        <w:t>(</w:t>
      </w:r>
      <w:r w:rsidRPr="00573C01">
        <w:rPr>
          <w:rFonts w:ascii="Times New Roman" w:hAnsi="Times New Roman" w:cs="Times New Roman"/>
          <w:sz w:val="20"/>
          <w:lang w:val="en-US"/>
        </w:rPr>
        <w:t>2016</w:t>
      </w:r>
      <w:r w:rsidR="00A865F6">
        <w:rPr>
          <w:rFonts w:ascii="Times New Roman" w:hAnsi="Times New Roman" w:cs="Times New Roman"/>
          <w:b/>
          <w:bCs/>
          <w:sz w:val="20"/>
          <w:lang w:val="en-US"/>
        </w:rPr>
        <w:t>)</w:t>
      </w:r>
    </w:p>
    <w:p w14:paraId="057BF6B3" w14:textId="3ED39BEE" w:rsidR="00724FD6" w:rsidRPr="00724FD6" w:rsidRDefault="00724FD6" w:rsidP="00554551">
      <w:pPr>
        <w:pStyle w:val="Bibliograafia"/>
        <w:jc w:val="both"/>
        <w:rPr>
          <w:rFonts w:ascii="Times New Roman" w:hAnsi="Times New Roman" w:cs="Times New Roman"/>
          <w:sz w:val="20"/>
          <w:lang w:val="en-US"/>
        </w:rPr>
      </w:pPr>
      <w:r w:rsidRPr="00724FD6">
        <w:rPr>
          <w:rFonts w:ascii="Times New Roman" w:hAnsi="Times New Roman" w:cs="Times New Roman"/>
          <w:sz w:val="20"/>
          <w:lang w:val="en-US"/>
        </w:rPr>
        <w:t xml:space="preserve">3. </w:t>
      </w:r>
      <w:r w:rsidRPr="00724FD6">
        <w:rPr>
          <w:rFonts w:ascii="Times New Roman" w:hAnsi="Times New Roman" w:cs="Times New Roman"/>
          <w:sz w:val="20"/>
          <w:lang w:val="en-US"/>
        </w:rPr>
        <w:tab/>
      </w:r>
      <w:r w:rsidR="00573C01">
        <w:rPr>
          <w:rFonts w:ascii="Times New Roman" w:hAnsi="Times New Roman" w:cs="Times New Roman"/>
          <w:sz w:val="20"/>
          <w:lang w:val="en-US"/>
        </w:rPr>
        <w:t xml:space="preserve">G. </w:t>
      </w:r>
      <w:r w:rsidRPr="00724FD6">
        <w:rPr>
          <w:rFonts w:ascii="Times New Roman" w:hAnsi="Times New Roman" w:cs="Times New Roman"/>
          <w:sz w:val="20"/>
          <w:lang w:val="en-US"/>
        </w:rPr>
        <w:t xml:space="preserve">Petitpas, </w:t>
      </w:r>
      <w:r w:rsidR="00573C01">
        <w:rPr>
          <w:rFonts w:ascii="Times New Roman" w:hAnsi="Times New Roman" w:cs="Times New Roman"/>
          <w:sz w:val="20"/>
          <w:lang w:val="en-US"/>
        </w:rPr>
        <w:t xml:space="preserve">P. </w:t>
      </w:r>
      <w:r w:rsidRPr="00724FD6">
        <w:rPr>
          <w:rFonts w:ascii="Times New Roman" w:hAnsi="Times New Roman" w:cs="Times New Roman"/>
          <w:sz w:val="20"/>
          <w:lang w:val="en-US"/>
        </w:rPr>
        <w:t xml:space="preserve">Bénard, </w:t>
      </w:r>
      <w:r w:rsidR="00573C01">
        <w:rPr>
          <w:rFonts w:ascii="Times New Roman" w:hAnsi="Times New Roman" w:cs="Times New Roman"/>
          <w:sz w:val="20"/>
          <w:lang w:val="en-US"/>
        </w:rPr>
        <w:t>L.E.</w:t>
      </w:r>
      <w:r w:rsidRPr="00724FD6">
        <w:rPr>
          <w:rFonts w:ascii="Times New Roman" w:hAnsi="Times New Roman" w:cs="Times New Roman"/>
          <w:sz w:val="20"/>
          <w:lang w:val="en-US"/>
        </w:rPr>
        <w:t xml:space="preserve"> Klebanoff, </w:t>
      </w:r>
      <w:r w:rsidR="00573C01">
        <w:rPr>
          <w:rFonts w:ascii="Times New Roman" w:hAnsi="Times New Roman" w:cs="Times New Roman"/>
          <w:sz w:val="20"/>
          <w:lang w:val="en-US"/>
        </w:rPr>
        <w:t>J.</w:t>
      </w:r>
      <w:r w:rsidRPr="00724FD6">
        <w:rPr>
          <w:rFonts w:ascii="Times New Roman" w:hAnsi="Times New Roman" w:cs="Times New Roman"/>
          <w:sz w:val="20"/>
          <w:lang w:val="en-US"/>
        </w:rPr>
        <w:t xml:space="preserve"> Xiao,</w:t>
      </w:r>
      <w:r w:rsidR="00573C01">
        <w:rPr>
          <w:rFonts w:ascii="Times New Roman" w:hAnsi="Times New Roman" w:cs="Times New Roman"/>
          <w:sz w:val="20"/>
          <w:lang w:val="en-US"/>
        </w:rPr>
        <w:t xml:space="preserve"> S. </w:t>
      </w:r>
      <w:r w:rsidRPr="00724FD6">
        <w:rPr>
          <w:rFonts w:ascii="Times New Roman" w:hAnsi="Times New Roman" w:cs="Times New Roman"/>
          <w:sz w:val="20"/>
          <w:lang w:val="en-US"/>
        </w:rPr>
        <w:t xml:space="preserve">Aceves, </w:t>
      </w:r>
      <w:r w:rsidR="00573C01" w:rsidRPr="00573C01">
        <w:rPr>
          <w:rFonts w:ascii="Times New Roman" w:hAnsi="Times New Roman" w:cs="Times New Roman"/>
          <w:sz w:val="20"/>
          <w:lang w:val="en-US"/>
        </w:rPr>
        <w:t>Int. J. Hydrog. Energy.</w:t>
      </w:r>
      <w:r w:rsidR="00573C01">
        <w:rPr>
          <w:rFonts w:ascii="Times New Roman" w:hAnsi="Times New Roman" w:cs="Times New Roman"/>
          <w:sz w:val="20"/>
          <w:lang w:val="en-US"/>
        </w:rPr>
        <w:t>,</w:t>
      </w:r>
      <w:r w:rsidR="00573C01" w:rsidRPr="00573C01">
        <w:rPr>
          <w:rFonts w:ascii="Times New Roman" w:hAnsi="Times New Roman" w:cs="Times New Roman"/>
          <w:sz w:val="20"/>
          <w:lang w:val="en-US"/>
        </w:rPr>
        <w:t xml:space="preserve"> </w:t>
      </w:r>
      <w:r w:rsidR="00573C01" w:rsidRPr="00573C01">
        <w:rPr>
          <w:rFonts w:ascii="Times New Roman" w:hAnsi="Times New Roman" w:cs="Times New Roman"/>
          <w:b/>
          <w:bCs/>
          <w:sz w:val="20"/>
          <w:lang w:val="en-US"/>
        </w:rPr>
        <w:t>39</w:t>
      </w:r>
      <w:r w:rsidR="00573C01">
        <w:rPr>
          <w:rFonts w:ascii="Times New Roman" w:hAnsi="Times New Roman" w:cs="Times New Roman"/>
          <w:sz w:val="20"/>
          <w:lang w:val="en-US"/>
        </w:rPr>
        <w:t xml:space="preserve"> </w:t>
      </w:r>
      <w:r w:rsidR="00573C01" w:rsidRPr="00573C01">
        <w:rPr>
          <w:rFonts w:ascii="Times New Roman" w:hAnsi="Times New Roman" w:cs="Times New Roman"/>
          <w:sz w:val="20"/>
          <w:lang w:val="en-US"/>
        </w:rPr>
        <w:t>(</w:t>
      </w:r>
      <w:r w:rsidRPr="00573C01">
        <w:rPr>
          <w:rFonts w:ascii="Times New Roman" w:hAnsi="Times New Roman" w:cs="Times New Roman"/>
          <w:sz w:val="20"/>
          <w:lang w:val="en-US"/>
        </w:rPr>
        <w:t>2014</w:t>
      </w:r>
      <w:r w:rsidR="00573C01" w:rsidRPr="00573C01">
        <w:rPr>
          <w:rFonts w:ascii="Times New Roman" w:hAnsi="Times New Roman" w:cs="Times New Roman"/>
          <w:sz w:val="20"/>
          <w:lang w:val="en-US"/>
        </w:rPr>
        <w:t>)</w:t>
      </w:r>
    </w:p>
    <w:p w14:paraId="7FB3EA0B" w14:textId="7CBFD520" w:rsidR="00724FD6" w:rsidRPr="00724FD6" w:rsidRDefault="00724FD6" w:rsidP="00554551">
      <w:pPr>
        <w:pStyle w:val="Bibliograafia"/>
        <w:jc w:val="both"/>
        <w:rPr>
          <w:rFonts w:ascii="Times New Roman" w:hAnsi="Times New Roman" w:cs="Times New Roman"/>
          <w:sz w:val="20"/>
          <w:lang w:val="en-US"/>
        </w:rPr>
      </w:pPr>
      <w:r w:rsidRPr="00724FD6">
        <w:rPr>
          <w:rFonts w:ascii="Times New Roman" w:hAnsi="Times New Roman" w:cs="Times New Roman"/>
          <w:sz w:val="20"/>
          <w:lang w:val="en-US"/>
        </w:rPr>
        <w:t xml:space="preserve">4. </w:t>
      </w:r>
      <w:r w:rsidRPr="00724FD6">
        <w:rPr>
          <w:rFonts w:ascii="Times New Roman" w:hAnsi="Times New Roman" w:cs="Times New Roman"/>
          <w:sz w:val="20"/>
          <w:lang w:val="en-US"/>
        </w:rPr>
        <w:tab/>
      </w:r>
      <w:r w:rsidR="00573C01">
        <w:rPr>
          <w:rFonts w:ascii="Times New Roman" w:hAnsi="Times New Roman" w:cs="Times New Roman"/>
          <w:sz w:val="20"/>
          <w:lang w:val="en-US"/>
        </w:rPr>
        <w:t xml:space="preserve">V. </w:t>
      </w:r>
      <w:r w:rsidRPr="00724FD6">
        <w:rPr>
          <w:rFonts w:ascii="Times New Roman" w:hAnsi="Times New Roman" w:cs="Times New Roman"/>
          <w:sz w:val="20"/>
          <w:lang w:val="en-US"/>
        </w:rPr>
        <w:t xml:space="preserve">Presser, </w:t>
      </w:r>
      <w:r w:rsidR="00573C01">
        <w:rPr>
          <w:rFonts w:ascii="Times New Roman" w:hAnsi="Times New Roman" w:cs="Times New Roman"/>
          <w:sz w:val="20"/>
          <w:lang w:val="en-US"/>
        </w:rPr>
        <w:t>M.</w:t>
      </w:r>
      <w:r w:rsidRPr="00724FD6">
        <w:rPr>
          <w:rFonts w:ascii="Times New Roman" w:hAnsi="Times New Roman" w:cs="Times New Roman"/>
          <w:sz w:val="20"/>
          <w:lang w:val="en-US"/>
        </w:rPr>
        <w:t xml:space="preserve"> Heon, </w:t>
      </w:r>
      <w:r w:rsidR="00573C01">
        <w:rPr>
          <w:rFonts w:ascii="Times New Roman" w:hAnsi="Times New Roman" w:cs="Times New Roman"/>
          <w:sz w:val="20"/>
          <w:lang w:val="en-US"/>
        </w:rPr>
        <w:t>Y.</w:t>
      </w:r>
      <w:r w:rsidRPr="00724FD6">
        <w:rPr>
          <w:rFonts w:ascii="Times New Roman" w:hAnsi="Times New Roman" w:cs="Times New Roman"/>
          <w:sz w:val="20"/>
          <w:lang w:val="en-US"/>
        </w:rPr>
        <w:t xml:space="preserve"> Gogotsi, </w:t>
      </w:r>
      <w:r w:rsidR="00573C01" w:rsidRPr="00573C01">
        <w:rPr>
          <w:rFonts w:ascii="Times New Roman" w:hAnsi="Times New Roman" w:cs="Times New Roman"/>
          <w:sz w:val="20"/>
          <w:lang w:val="en-US"/>
        </w:rPr>
        <w:t>Adv. Funct. Mater.,</w:t>
      </w:r>
      <w:r w:rsidR="00573C01">
        <w:rPr>
          <w:rFonts w:ascii="Times New Roman" w:hAnsi="Times New Roman" w:cs="Times New Roman"/>
          <w:b/>
          <w:bCs/>
          <w:sz w:val="20"/>
          <w:lang w:val="en-US"/>
        </w:rPr>
        <w:t xml:space="preserve"> 21</w:t>
      </w:r>
      <w:r w:rsidR="00573C01" w:rsidRPr="00573C01">
        <w:rPr>
          <w:rFonts w:ascii="Times New Roman" w:hAnsi="Times New Roman" w:cs="Times New Roman"/>
          <w:b/>
          <w:bCs/>
          <w:sz w:val="20"/>
          <w:lang w:val="en-US"/>
        </w:rPr>
        <w:t xml:space="preserve"> </w:t>
      </w:r>
      <w:r w:rsidR="00573C01" w:rsidRPr="00573C01">
        <w:rPr>
          <w:rFonts w:ascii="Times New Roman" w:hAnsi="Times New Roman" w:cs="Times New Roman"/>
          <w:sz w:val="20"/>
          <w:lang w:val="en-US"/>
        </w:rPr>
        <w:t>(</w:t>
      </w:r>
      <w:r w:rsidRPr="00573C01">
        <w:rPr>
          <w:rFonts w:ascii="Times New Roman" w:hAnsi="Times New Roman" w:cs="Times New Roman"/>
          <w:sz w:val="20"/>
          <w:lang w:val="en-US"/>
        </w:rPr>
        <w:t>2011</w:t>
      </w:r>
      <w:r w:rsidR="00573C01" w:rsidRPr="00573C01">
        <w:rPr>
          <w:rFonts w:ascii="Times New Roman" w:hAnsi="Times New Roman" w:cs="Times New Roman"/>
          <w:sz w:val="20"/>
          <w:lang w:val="en-US"/>
        </w:rPr>
        <w:t>)</w:t>
      </w:r>
    </w:p>
    <w:p w14:paraId="3426B0F7" w14:textId="7371074D" w:rsidR="00724FD6" w:rsidRPr="00724FD6" w:rsidRDefault="00724FD6" w:rsidP="00554551">
      <w:pPr>
        <w:pStyle w:val="Bibliograafia"/>
        <w:jc w:val="both"/>
        <w:rPr>
          <w:rFonts w:ascii="Times New Roman" w:hAnsi="Times New Roman" w:cs="Times New Roman"/>
          <w:sz w:val="20"/>
          <w:lang w:val="en-US"/>
        </w:rPr>
      </w:pPr>
      <w:r w:rsidRPr="00724FD6">
        <w:rPr>
          <w:rFonts w:ascii="Times New Roman" w:hAnsi="Times New Roman" w:cs="Times New Roman"/>
          <w:sz w:val="20"/>
          <w:lang w:val="en-US"/>
        </w:rPr>
        <w:t xml:space="preserve">5. </w:t>
      </w:r>
      <w:r w:rsidRPr="00724FD6">
        <w:rPr>
          <w:rFonts w:ascii="Times New Roman" w:hAnsi="Times New Roman" w:cs="Times New Roman"/>
          <w:sz w:val="20"/>
          <w:lang w:val="en-US"/>
        </w:rPr>
        <w:tab/>
      </w:r>
      <w:r w:rsidR="00573C01">
        <w:rPr>
          <w:rFonts w:ascii="Times New Roman" w:hAnsi="Times New Roman" w:cs="Times New Roman"/>
          <w:sz w:val="20"/>
          <w:lang w:val="en-US"/>
        </w:rPr>
        <w:t xml:space="preserve">R. </w:t>
      </w:r>
      <w:r w:rsidRPr="00724FD6">
        <w:rPr>
          <w:rFonts w:ascii="Times New Roman" w:hAnsi="Times New Roman" w:cs="Times New Roman"/>
          <w:sz w:val="20"/>
          <w:lang w:val="en-US"/>
        </w:rPr>
        <w:t xml:space="preserve">Härmas, </w:t>
      </w:r>
      <w:r w:rsidR="00573C01">
        <w:rPr>
          <w:rFonts w:ascii="Times New Roman" w:hAnsi="Times New Roman" w:cs="Times New Roman"/>
          <w:sz w:val="20"/>
          <w:lang w:val="en-US"/>
        </w:rPr>
        <w:t>R.</w:t>
      </w:r>
      <w:r w:rsidRPr="00724FD6">
        <w:rPr>
          <w:rFonts w:ascii="Times New Roman" w:hAnsi="Times New Roman" w:cs="Times New Roman"/>
          <w:sz w:val="20"/>
          <w:lang w:val="en-US"/>
        </w:rPr>
        <w:t xml:space="preserve"> Palm, </w:t>
      </w:r>
      <w:r w:rsidR="00573C01">
        <w:rPr>
          <w:rFonts w:ascii="Times New Roman" w:hAnsi="Times New Roman" w:cs="Times New Roman"/>
          <w:sz w:val="20"/>
          <w:lang w:val="en-US"/>
        </w:rPr>
        <w:t>M.</w:t>
      </w:r>
      <w:r w:rsidRPr="00724FD6">
        <w:rPr>
          <w:rFonts w:ascii="Times New Roman" w:hAnsi="Times New Roman" w:cs="Times New Roman"/>
          <w:sz w:val="20"/>
          <w:lang w:val="en-US"/>
        </w:rPr>
        <w:t xml:space="preserve"> Russina, </w:t>
      </w:r>
      <w:r w:rsidR="00573C01">
        <w:rPr>
          <w:rFonts w:ascii="Times New Roman" w:hAnsi="Times New Roman" w:cs="Times New Roman"/>
          <w:sz w:val="20"/>
          <w:lang w:val="en-US"/>
        </w:rPr>
        <w:t>H.</w:t>
      </w:r>
      <w:r w:rsidRPr="00724FD6">
        <w:rPr>
          <w:rFonts w:ascii="Times New Roman" w:hAnsi="Times New Roman" w:cs="Times New Roman"/>
          <w:sz w:val="20"/>
          <w:lang w:val="en-US"/>
        </w:rPr>
        <w:t xml:space="preserve"> Kurig, </w:t>
      </w:r>
      <w:r w:rsidR="00573C01">
        <w:rPr>
          <w:rFonts w:ascii="Times New Roman" w:hAnsi="Times New Roman" w:cs="Times New Roman"/>
          <w:sz w:val="20"/>
          <w:lang w:val="en-US"/>
        </w:rPr>
        <w:t xml:space="preserve">V. </w:t>
      </w:r>
      <w:r w:rsidRPr="00724FD6">
        <w:rPr>
          <w:rFonts w:ascii="Times New Roman" w:hAnsi="Times New Roman" w:cs="Times New Roman"/>
          <w:sz w:val="20"/>
          <w:lang w:val="en-US"/>
        </w:rPr>
        <w:t xml:space="preserve">Grzimek, </w:t>
      </w:r>
      <w:r w:rsidR="00573C01">
        <w:rPr>
          <w:rFonts w:ascii="Times New Roman" w:hAnsi="Times New Roman" w:cs="Times New Roman"/>
          <w:sz w:val="20"/>
          <w:lang w:val="en-US"/>
        </w:rPr>
        <w:t>E. H</w:t>
      </w:r>
      <w:r w:rsidRPr="00724FD6">
        <w:rPr>
          <w:rFonts w:ascii="Times New Roman" w:hAnsi="Times New Roman" w:cs="Times New Roman"/>
          <w:sz w:val="20"/>
          <w:lang w:val="en-US"/>
        </w:rPr>
        <w:t xml:space="preserve">ärk, </w:t>
      </w:r>
      <w:r w:rsidR="00573C01">
        <w:rPr>
          <w:rFonts w:ascii="Times New Roman" w:hAnsi="Times New Roman" w:cs="Times New Roman"/>
          <w:sz w:val="20"/>
          <w:lang w:val="en-US"/>
        </w:rPr>
        <w:t>M.</w:t>
      </w:r>
      <w:r w:rsidRPr="00724FD6">
        <w:rPr>
          <w:rFonts w:ascii="Times New Roman" w:hAnsi="Times New Roman" w:cs="Times New Roman"/>
          <w:sz w:val="20"/>
          <w:lang w:val="en-US"/>
        </w:rPr>
        <w:t xml:space="preserve"> Koppel, </w:t>
      </w:r>
      <w:r w:rsidR="00573C01">
        <w:rPr>
          <w:rFonts w:ascii="Times New Roman" w:hAnsi="Times New Roman" w:cs="Times New Roman"/>
          <w:sz w:val="20"/>
          <w:lang w:val="en-US"/>
        </w:rPr>
        <w:t xml:space="preserve">I. </w:t>
      </w:r>
      <w:r w:rsidRPr="00724FD6">
        <w:rPr>
          <w:rFonts w:ascii="Times New Roman" w:hAnsi="Times New Roman" w:cs="Times New Roman"/>
          <w:sz w:val="20"/>
          <w:lang w:val="en-US"/>
        </w:rPr>
        <w:t>Tallo,</w:t>
      </w:r>
      <w:r w:rsidR="00573C01">
        <w:rPr>
          <w:rFonts w:ascii="Times New Roman" w:hAnsi="Times New Roman" w:cs="Times New Roman"/>
          <w:sz w:val="20"/>
          <w:lang w:val="en-US"/>
        </w:rPr>
        <w:t xml:space="preserve"> M.</w:t>
      </w:r>
      <w:r w:rsidRPr="00724FD6">
        <w:rPr>
          <w:rFonts w:ascii="Times New Roman" w:hAnsi="Times New Roman" w:cs="Times New Roman"/>
          <w:sz w:val="20"/>
          <w:lang w:val="en-US"/>
        </w:rPr>
        <w:t xml:space="preserve"> Paalo,</w:t>
      </w:r>
      <w:r w:rsidR="00573C01">
        <w:rPr>
          <w:rFonts w:ascii="Times New Roman" w:hAnsi="Times New Roman" w:cs="Times New Roman"/>
          <w:sz w:val="20"/>
          <w:lang w:val="en-US"/>
        </w:rPr>
        <w:t xml:space="preserve"> O.</w:t>
      </w:r>
      <w:r w:rsidRPr="00724FD6">
        <w:rPr>
          <w:rFonts w:ascii="Times New Roman" w:hAnsi="Times New Roman" w:cs="Times New Roman"/>
          <w:sz w:val="20"/>
          <w:lang w:val="en-US"/>
        </w:rPr>
        <w:t xml:space="preserve"> Oll et al.</w:t>
      </w:r>
      <w:r w:rsidR="00573C01">
        <w:rPr>
          <w:rFonts w:ascii="Times New Roman" w:hAnsi="Times New Roman" w:cs="Times New Roman"/>
          <w:sz w:val="20"/>
          <w:lang w:val="en-US"/>
        </w:rPr>
        <w:t>,</w:t>
      </w:r>
      <w:r w:rsidRPr="00724FD6">
        <w:rPr>
          <w:rFonts w:ascii="Times New Roman" w:hAnsi="Times New Roman" w:cs="Times New Roman"/>
          <w:sz w:val="20"/>
          <w:lang w:val="en-US"/>
        </w:rPr>
        <w:t xml:space="preserve"> </w:t>
      </w:r>
      <w:r w:rsidRPr="00573C01">
        <w:rPr>
          <w:rFonts w:ascii="Times New Roman" w:hAnsi="Times New Roman" w:cs="Times New Roman"/>
          <w:sz w:val="20"/>
          <w:lang w:val="en-US"/>
        </w:rPr>
        <w:t>Carbon</w:t>
      </w:r>
      <w:r w:rsidR="00CB5C8D">
        <w:rPr>
          <w:rFonts w:ascii="Times New Roman" w:hAnsi="Times New Roman" w:cs="Times New Roman"/>
          <w:sz w:val="20"/>
          <w:lang w:val="en-US"/>
        </w:rPr>
        <w:t>,</w:t>
      </w:r>
      <w:r w:rsidRPr="00724FD6">
        <w:rPr>
          <w:rFonts w:ascii="Times New Roman" w:hAnsi="Times New Roman" w:cs="Times New Roman"/>
          <w:sz w:val="20"/>
          <w:lang w:val="en-US"/>
        </w:rPr>
        <w:t xml:space="preserve"> </w:t>
      </w:r>
      <w:r w:rsidR="00573C01" w:rsidRPr="00573C01">
        <w:rPr>
          <w:rFonts w:ascii="Times New Roman" w:hAnsi="Times New Roman" w:cs="Times New Roman"/>
          <w:b/>
          <w:bCs/>
          <w:sz w:val="20"/>
          <w:lang w:val="en-US"/>
        </w:rPr>
        <w:t>155</w:t>
      </w:r>
      <w:r w:rsidR="00573C01">
        <w:rPr>
          <w:rFonts w:ascii="Times New Roman" w:hAnsi="Times New Roman" w:cs="Times New Roman"/>
          <w:sz w:val="20"/>
          <w:lang w:val="en-US"/>
        </w:rPr>
        <w:t xml:space="preserve"> </w:t>
      </w:r>
      <w:r w:rsidR="00573C01" w:rsidRPr="00573C01">
        <w:rPr>
          <w:rFonts w:ascii="Times New Roman" w:hAnsi="Times New Roman" w:cs="Times New Roman"/>
          <w:sz w:val="20"/>
          <w:lang w:val="en-US"/>
        </w:rPr>
        <w:t>(</w:t>
      </w:r>
      <w:r w:rsidRPr="00573C01">
        <w:rPr>
          <w:rFonts w:ascii="Times New Roman" w:hAnsi="Times New Roman" w:cs="Times New Roman"/>
          <w:sz w:val="20"/>
          <w:lang w:val="en-US"/>
        </w:rPr>
        <w:t>2019</w:t>
      </w:r>
      <w:r w:rsidR="00573C01" w:rsidRPr="00573C01">
        <w:rPr>
          <w:rFonts w:ascii="Times New Roman" w:hAnsi="Times New Roman" w:cs="Times New Roman"/>
          <w:sz w:val="20"/>
          <w:lang w:val="en-US"/>
        </w:rPr>
        <w:t>)</w:t>
      </w:r>
    </w:p>
    <w:p w14:paraId="4B5FCF11" w14:textId="3A96E220" w:rsidR="00724FD6" w:rsidRPr="00724FD6" w:rsidRDefault="00724FD6" w:rsidP="00554551">
      <w:pPr>
        <w:pStyle w:val="Bibliograafia"/>
        <w:jc w:val="both"/>
        <w:rPr>
          <w:rFonts w:ascii="Times New Roman" w:hAnsi="Times New Roman" w:cs="Times New Roman"/>
          <w:sz w:val="20"/>
          <w:lang w:val="en-US"/>
        </w:rPr>
      </w:pPr>
      <w:r w:rsidRPr="00724FD6">
        <w:rPr>
          <w:rFonts w:ascii="Times New Roman" w:hAnsi="Times New Roman" w:cs="Times New Roman"/>
          <w:sz w:val="20"/>
          <w:lang w:val="en-US"/>
        </w:rPr>
        <w:t xml:space="preserve">6. </w:t>
      </w:r>
      <w:r w:rsidRPr="00724FD6">
        <w:rPr>
          <w:rFonts w:ascii="Times New Roman" w:hAnsi="Times New Roman" w:cs="Times New Roman"/>
          <w:sz w:val="20"/>
          <w:lang w:val="en-US"/>
        </w:rPr>
        <w:tab/>
      </w:r>
      <w:r w:rsidR="00573C01">
        <w:rPr>
          <w:rFonts w:ascii="Times New Roman" w:hAnsi="Times New Roman" w:cs="Times New Roman"/>
          <w:sz w:val="20"/>
          <w:lang w:val="en-US"/>
        </w:rPr>
        <w:t xml:space="preserve">R. </w:t>
      </w:r>
      <w:r w:rsidRPr="00724FD6">
        <w:rPr>
          <w:rFonts w:ascii="Times New Roman" w:hAnsi="Times New Roman" w:cs="Times New Roman"/>
          <w:sz w:val="20"/>
          <w:lang w:val="en-US"/>
        </w:rPr>
        <w:t xml:space="preserve">Härmas, </w:t>
      </w:r>
      <w:r w:rsidR="00573C01">
        <w:rPr>
          <w:rFonts w:ascii="Times New Roman" w:hAnsi="Times New Roman" w:cs="Times New Roman"/>
          <w:sz w:val="20"/>
          <w:lang w:val="en-US"/>
        </w:rPr>
        <w:t>R.</w:t>
      </w:r>
      <w:r w:rsidRPr="00724FD6">
        <w:rPr>
          <w:rFonts w:ascii="Times New Roman" w:hAnsi="Times New Roman" w:cs="Times New Roman"/>
          <w:sz w:val="20"/>
          <w:lang w:val="en-US"/>
        </w:rPr>
        <w:t xml:space="preserve"> Palm, </w:t>
      </w:r>
      <w:r w:rsidR="00573C01">
        <w:rPr>
          <w:rFonts w:ascii="Times New Roman" w:hAnsi="Times New Roman" w:cs="Times New Roman"/>
          <w:sz w:val="20"/>
          <w:lang w:val="en-US"/>
        </w:rPr>
        <w:t>H.</w:t>
      </w:r>
      <w:r w:rsidRPr="00724FD6">
        <w:rPr>
          <w:rFonts w:ascii="Times New Roman" w:hAnsi="Times New Roman" w:cs="Times New Roman"/>
          <w:sz w:val="20"/>
          <w:lang w:val="en-US"/>
        </w:rPr>
        <w:t xml:space="preserve"> Kurig, </w:t>
      </w:r>
      <w:r w:rsidR="00573C01">
        <w:rPr>
          <w:rFonts w:ascii="Times New Roman" w:hAnsi="Times New Roman" w:cs="Times New Roman"/>
          <w:sz w:val="20"/>
          <w:lang w:val="en-US"/>
        </w:rPr>
        <w:t>L.</w:t>
      </w:r>
      <w:r w:rsidRPr="00724FD6">
        <w:rPr>
          <w:rFonts w:ascii="Times New Roman" w:hAnsi="Times New Roman" w:cs="Times New Roman"/>
          <w:sz w:val="20"/>
          <w:lang w:val="en-US"/>
        </w:rPr>
        <w:t xml:space="preserve"> Puusepp, </w:t>
      </w:r>
      <w:r w:rsidR="00573C01">
        <w:rPr>
          <w:rFonts w:ascii="Times New Roman" w:hAnsi="Times New Roman" w:cs="Times New Roman"/>
          <w:sz w:val="20"/>
          <w:lang w:val="en-US"/>
        </w:rPr>
        <w:t xml:space="preserve">T. </w:t>
      </w:r>
      <w:r w:rsidRPr="00724FD6">
        <w:rPr>
          <w:rFonts w:ascii="Times New Roman" w:hAnsi="Times New Roman" w:cs="Times New Roman"/>
          <w:sz w:val="20"/>
          <w:lang w:val="en-US"/>
        </w:rPr>
        <w:t xml:space="preserve">Pfaff, </w:t>
      </w:r>
      <w:r w:rsidR="00573C01">
        <w:rPr>
          <w:rFonts w:ascii="Times New Roman" w:hAnsi="Times New Roman" w:cs="Times New Roman"/>
          <w:sz w:val="20"/>
          <w:lang w:val="en-US"/>
        </w:rPr>
        <w:t>T.</w:t>
      </w:r>
      <w:r w:rsidRPr="00724FD6">
        <w:rPr>
          <w:rFonts w:ascii="Times New Roman" w:hAnsi="Times New Roman" w:cs="Times New Roman"/>
          <w:sz w:val="20"/>
          <w:lang w:val="en-US"/>
        </w:rPr>
        <w:t xml:space="preserve"> Romann, </w:t>
      </w:r>
      <w:r w:rsidR="00573C01">
        <w:rPr>
          <w:rFonts w:ascii="Times New Roman" w:hAnsi="Times New Roman" w:cs="Times New Roman"/>
          <w:sz w:val="20"/>
          <w:lang w:val="en-US"/>
        </w:rPr>
        <w:t>J.</w:t>
      </w:r>
      <w:r w:rsidRPr="00724FD6">
        <w:rPr>
          <w:rFonts w:ascii="Times New Roman" w:hAnsi="Times New Roman" w:cs="Times New Roman"/>
          <w:sz w:val="20"/>
          <w:lang w:val="en-US"/>
        </w:rPr>
        <w:t xml:space="preserve"> Aruväli, </w:t>
      </w:r>
      <w:r w:rsidR="00573C01">
        <w:rPr>
          <w:rFonts w:ascii="Times New Roman" w:hAnsi="Times New Roman" w:cs="Times New Roman"/>
          <w:sz w:val="20"/>
          <w:lang w:val="en-US"/>
        </w:rPr>
        <w:t>I.</w:t>
      </w:r>
      <w:r w:rsidRPr="00724FD6">
        <w:rPr>
          <w:rFonts w:ascii="Times New Roman" w:hAnsi="Times New Roman" w:cs="Times New Roman"/>
          <w:sz w:val="20"/>
          <w:lang w:val="en-US"/>
        </w:rPr>
        <w:t xml:space="preserve"> Tallo, </w:t>
      </w:r>
      <w:r w:rsidR="00573C01">
        <w:rPr>
          <w:rFonts w:ascii="Times New Roman" w:hAnsi="Times New Roman" w:cs="Times New Roman"/>
          <w:sz w:val="20"/>
          <w:lang w:val="en-US"/>
        </w:rPr>
        <w:t xml:space="preserve">T. </w:t>
      </w:r>
      <w:r w:rsidRPr="00724FD6">
        <w:rPr>
          <w:rFonts w:ascii="Times New Roman" w:hAnsi="Times New Roman" w:cs="Times New Roman"/>
          <w:sz w:val="20"/>
          <w:lang w:val="en-US"/>
        </w:rPr>
        <w:t xml:space="preserve">Thomberg, </w:t>
      </w:r>
      <w:r w:rsidR="00573C01">
        <w:rPr>
          <w:rFonts w:ascii="Times New Roman" w:hAnsi="Times New Roman" w:cs="Times New Roman"/>
          <w:sz w:val="20"/>
          <w:lang w:val="en-US"/>
        </w:rPr>
        <w:t>A.</w:t>
      </w:r>
      <w:r w:rsidRPr="00724FD6">
        <w:rPr>
          <w:rFonts w:ascii="Times New Roman" w:hAnsi="Times New Roman" w:cs="Times New Roman"/>
          <w:sz w:val="20"/>
          <w:lang w:val="en-US"/>
        </w:rPr>
        <w:t xml:space="preserve"> Jänes et al</w:t>
      </w:r>
      <w:r w:rsidR="00573C01">
        <w:rPr>
          <w:rFonts w:ascii="Times New Roman" w:hAnsi="Times New Roman" w:cs="Times New Roman"/>
          <w:sz w:val="20"/>
          <w:lang w:val="en-US"/>
        </w:rPr>
        <w:t>.,</w:t>
      </w:r>
      <w:r w:rsidRPr="00724FD6">
        <w:rPr>
          <w:rFonts w:ascii="Times New Roman" w:hAnsi="Times New Roman" w:cs="Times New Roman"/>
          <w:sz w:val="20"/>
          <w:lang w:val="en-US"/>
        </w:rPr>
        <w:t xml:space="preserve"> </w:t>
      </w:r>
      <w:r w:rsidRPr="00724FD6">
        <w:rPr>
          <w:rFonts w:ascii="Times New Roman" w:hAnsi="Times New Roman" w:cs="Times New Roman"/>
          <w:i/>
          <w:iCs/>
          <w:sz w:val="20"/>
          <w:lang w:val="en-US"/>
        </w:rPr>
        <w:t>C</w:t>
      </w:r>
      <w:r w:rsidR="00CB5C8D">
        <w:rPr>
          <w:rFonts w:ascii="Times New Roman" w:hAnsi="Times New Roman" w:cs="Times New Roman"/>
          <w:sz w:val="20"/>
          <w:lang w:val="en-US"/>
        </w:rPr>
        <w:t xml:space="preserve">, </w:t>
      </w:r>
      <w:r w:rsidR="00CB5C8D" w:rsidRPr="00CB5C8D">
        <w:rPr>
          <w:rFonts w:ascii="Times New Roman" w:hAnsi="Times New Roman" w:cs="Times New Roman"/>
          <w:b/>
          <w:bCs/>
          <w:sz w:val="20"/>
          <w:lang w:val="en-US"/>
        </w:rPr>
        <w:t>7</w:t>
      </w:r>
      <w:r w:rsidR="00CB5C8D">
        <w:rPr>
          <w:rFonts w:ascii="Times New Roman" w:hAnsi="Times New Roman" w:cs="Times New Roman"/>
          <w:sz w:val="20"/>
          <w:lang w:val="en-US"/>
        </w:rPr>
        <w:t xml:space="preserve"> </w:t>
      </w:r>
      <w:r w:rsidR="00CB5C8D" w:rsidRPr="00CB5C8D">
        <w:rPr>
          <w:rFonts w:ascii="Times New Roman" w:hAnsi="Times New Roman" w:cs="Times New Roman"/>
          <w:sz w:val="20"/>
          <w:lang w:val="en-US"/>
        </w:rPr>
        <w:t>(</w:t>
      </w:r>
      <w:r w:rsidRPr="00CB5C8D">
        <w:rPr>
          <w:rFonts w:ascii="Times New Roman" w:hAnsi="Times New Roman" w:cs="Times New Roman"/>
          <w:sz w:val="20"/>
          <w:lang w:val="en-US"/>
        </w:rPr>
        <w:t>2021</w:t>
      </w:r>
      <w:r w:rsidR="00CB5C8D" w:rsidRPr="00CB5C8D">
        <w:rPr>
          <w:rFonts w:ascii="Times New Roman" w:hAnsi="Times New Roman" w:cs="Times New Roman"/>
          <w:sz w:val="20"/>
          <w:lang w:val="en-US"/>
        </w:rPr>
        <w:t>)</w:t>
      </w:r>
    </w:p>
    <w:p w14:paraId="3597A920" w14:textId="52320CDB" w:rsidR="00724FD6" w:rsidRPr="00652925" w:rsidRDefault="00724FD6" w:rsidP="00554551">
      <w:pPr>
        <w:pStyle w:val="Bibliograafia"/>
        <w:jc w:val="both"/>
        <w:rPr>
          <w:rFonts w:ascii="Times New Roman" w:hAnsi="Times New Roman" w:cs="Times New Roman"/>
          <w:sz w:val="20"/>
          <w:lang w:val="en-US"/>
        </w:rPr>
      </w:pPr>
      <w:r w:rsidRPr="00724FD6">
        <w:rPr>
          <w:rFonts w:ascii="Times New Roman" w:hAnsi="Times New Roman" w:cs="Times New Roman"/>
          <w:sz w:val="20"/>
          <w:lang w:val="en-US"/>
        </w:rPr>
        <w:t xml:space="preserve">7. </w:t>
      </w:r>
      <w:r w:rsidRPr="00724FD6">
        <w:rPr>
          <w:rFonts w:ascii="Times New Roman" w:hAnsi="Times New Roman" w:cs="Times New Roman"/>
          <w:sz w:val="20"/>
          <w:lang w:val="en-US"/>
        </w:rPr>
        <w:tab/>
      </w:r>
      <w:r w:rsidR="00CB5C8D">
        <w:rPr>
          <w:rFonts w:ascii="Times New Roman" w:hAnsi="Times New Roman" w:cs="Times New Roman"/>
          <w:sz w:val="20"/>
          <w:lang w:val="en-US"/>
        </w:rPr>
        <w:t xml:space="preserve">H. </w:t>
      </w:r>
      <w:r w:rsidRPr="00724FD6">
        <w:rPr>
          <w:rFonts w:ascii="Times New Roman" w:hAnsi="Times New Roman" w:cs="Times New Roman"/>
          <w:sz w:val="20"/>
          <w:lang w:val="en-US"/>
        </w:rPr>
        <w:t xml:space="preserve">Kurig, </w:t>
      </w:r>
      <w:r w:rsidR="00CB5C8D">
        <w:rPr>
          <w:rFonts w:ascii="Times New Roman" w:hAnsi="Times New Roman" w:cs="Times New Roman"/>
          <w:sz w:val="20"/>
          <w:lang w:val="en-US"/>
        </w:rPr>
        <w:t>M.</w:t>
      </w:r>
      <w:r w:rsidRPr="00724FD6">
        <w:rPr>
          <w:rFonts w:ascii="Times New Roman" w:hAnsi="Times New Roman" w:cs="Times New Roman"/>
          <w:sz w:val="20"/>
          <w:lang w:val="en-US"/>
        </w:rPr>
        <w:t xml:space="preserve"> Russina, </w:t>
      </w:r>
      <w:r w:rsidR="00CB5C8D">
        <w:rPr>
          <w:rFonts w:ascii="Times New Roman" w:hAnsi="Times New Roman" w:cs="Times New Roman"/>
          <w:sz w:val="20"/>
          <w:lang w:val="en-US"/>
        </w:rPr>
        <w:t>I.</w:t>
      </w:r>
      <w:r w:rsidRPr="00724FD6">
        <w:rPr>
          <w:rFonts w:ascii="Times New Roman" w:hAnsi="Times New Roman" w:cs="Times New Roman"/>
          <w:sz w:val="20"/>
          <w:lang w:val="en-US"/>
        </w:rPr>
        <w:t xml:space="preserve"> Tallo, </w:t>
      </w:r>
      <w:r w:rsidR="00CB5C8D">
        <w:rPr>
          <w:rFonts w:ascii="Times New Roman" w:hAnsi="Times New Roman" w:cs="Times New Roman"/>
          <w:sz w:val="20"/>
          <w:lang w:val="en-US"/>
        </w:rPr>
        <w:t xml:space="preserve">M. </w:t>
      </w:r>
      <w:r w:rsidRPr="00724FD6">
        <w:rPr>
          <w:rFonts w:ascii="Times New Roman" w:hAnsi="Times New Roman" w:cs="Times New Roman"/>
          <w:sz w:val="20"/>
          <w:lang w:val="en-US"/>
        </w:rPr>
        <w:t xml:space="preserve">Siebenbuerger, </w:t>
      </w:r>
      <w:r w:rsidR="00CB5C8D">
        <w:rPr>
          <w:rFonts w:ascii="Times New Roman" w:hAnsi="Times New Roman" w:cs="Times New Roman"/>
          <w:sz w:val="20"/>
          <w:lang w:val="en-US"/>
        </w:rPr>
        <w:t>T.</w:t>
      </w:r>
      <w:r w:rsidRPr="00724FD6">
        <w:rPr>
          <w:rFonts w:ascii="Times New Roman" w:hAnsi="Times New Roman" w:cs="Times New Roman"/>
          <w:sz w:val="20"/>
          <w:lang w:val="en-US"/>
        </w:rPr>
        <w:t xml:space="preserve"> Romann, </w:t>
      </w:r>
      <w:r w:rsidR="00CB5C8D">
        <w:rPr>
          <w:rFonts w:ascii="Times New Roman" w:hAnsi="Times New Roman" w:cs="Times New Roman"/>
          <w:sz w:val="20"/>
          <w:lang w:val="en-US"/>
        </w:rPr>
        <w:t>E.</w:t>
      </w:r>
      <w:r w:rsidRPr="00724FD6">
        <w:rPr>
          <w:rFonts w:ascii="Times New Roman" w:hAnsi="Times New Roman" w:cs="Times New Roman"/>
          <w:sz w:val="20"/>
          <w:lang w:val="en-US"/>
        </w:rPr>
        <w:t xml:space="preserve"> Lust, </w:t>
      </w:r>
      <w:r w:rsidRPr="00652925">
        <w:rPr>
          <w:rFonts w:ascii="Times New Roman" w:hAnsi="Times New Roman" w:cs="Times New Roman"/>
          <w:sz w:val="20"/>
          <w:lang w:val="en-US"/>
        </w:rPr>
        <w:t>Carbon</w:t>
      </w:r>
      <w:r w:rsidR="00CB5C8D" w:rsidRPr="00652925">
        <w:rPr>
          <w:rFonts w:ascii="Times New Roman" w:hAnsi="Times New Roman" w:cs="Times New Roman"/>
          <w:sz w:val="20"/>
          <w:lang w:val="en-US"/>
        </w:rPr>
        <w:t>,</w:t>
      </w:r>
      <w:r w:rsidRPr="00652925">
        <w:rPr>
          <w:rFonts w:ascii="Times New Roman" w:hAnsi="Times New Roman" w:cs="Times New Roman"/>
          <w:sz w:val="20"/>
          <w:lang w:val="en-US"/>
        </w:rPr>
        <w:t xml:space="preserve"> </w:t>
      </w:r>
      <w:r w:rsidR="00CB5C8D" w:rsidRPr="00652925">
        <w:rPr>
          <w:rFonts w:ascii="Times New Roman" w:hAnsi="Times New Roman" w:cs="Times New Roman"/>
          <w:b/>
          <w:bCs/>
          <w:sz w:val="20"/>
          <w:lang w:val="en-US"/>
        </w:rPr>
        <w:t xml:space="preserve">100 </w:t>
      </w:r>
      <w:r w:rsidR="00CB5C8D" w:rsidRPr="00652925">
        <w:rPr>
          <w:rFonts w:ascii="Times New Roman" w:hAnsi="Times New Roman" w:cs="Times New Roman"/>
          <w:sz w:val="20"/>
          <w:lang w:val="en-US"/>
        </w:rPr>
        <w:t>(</w:t>
      </w:r>
      <w:r w:rsidRPr="00652925">
        <w:rPr>
          <w:rFonts w:ascii="Times New Roman" w:hAnsi="Times New Roman" w:cs="Times New Roman"/>
          <w:sz w:val="20"/>
          <w:lang w:val="en-US"/>
        </w:rPr>
        <w:t>2016</w:t>
      </w:r>
      <w:r w:rsidR="00CB5C8D" w:rsidRPr="00652925">
        <w:rPr>
          <w:rFonts w:ascii="Times New Roman" w:hAnsi="Times New Roman" w:cs="Times New Roman"/>
          <w:sz w:val="20"/>
          <w:lang w:val="en-US"/>
        </w:rPr>
        <w:t>)</w:t>
      </w:r>
    </w:p>
    <w:p w14:paraId="16400453" w14:textId="14C8DD8D" w:rsidR="00724FD6" w:rsidRPr="00724FD6" w:rsidRDefault="00724FD6" w:rsidP="00554551">
      <w:pPr>
        <w:pStyle w:val="Bibliograafia"/>
        <w:jc w:val="both"/>
        <w:rPr>
          <w:rFonts w:ascii="Times New Roman" w:hAnsi="Times New Roman" w:cs="Times New Roman"/>
          <w:sz w:val="20"/>
          <w:lang w:val="en-US"/>
        </w:rPr>
      </w:pPr>
      <w:r w:rsidRPr="00652925">
        <w:rPr>
          <w:rFonts w:ascii="Times New Roman" w:hAnsi="Times New Roman" w:cs="Times New Roman"/>
          <w:sz w:val="20"/>
          <w:lang w:val="en-US"/>
        </w:rPr>
        <w:t xml:space="preserve">8. </w:t>
      </w:r>
      <w:r w:rsidRPr="00652925">
        <w:rPr>
          <w:rFonts w:ascii="Times New Roman" w:hAnsi="Times New Roman" w:cs="Times New Roman"/>
          <w:sz w:val="20"/>
          <w:lang w:val="en-US"/>
        </w:rPr>
        <w:tab/>
      </w:r>
      <w:r w:rsidR="00CB5C8D" w:rsidRPr="00652925">
        <w:rPr>
          <w:rFonts w:ascii="Times New Roman" w:hAnsi="Times New Roman" w:cs="Times New Roman"/>
          <w:sz w:val="20"/>
          <w:lang w:val="en-US"/>
        </w:rPr>
        <w:t xml:space="preserve">R. </w:t>
      </w:r>
      <w:r w:rsidRPr="00652925">
        <w:rPr>
          <w:rFonts w:ascii="Times New Roman" w:hAnsi="Times New Roman" w:cs="Times New Roman"/>
          <w:sz w:val="20"/>
          <w:lang w:val="en-US"/>
        </w:rPr>
        <w:t xml:space="preserve">Palm, </w:t>
      </w:r>
      <w:r w:rsidR="00CB5C8D" w:rsidRPr="00652925">
        <w:rPr>
          <w:rFonts w:ascii="Times New Roman" w:hAnsi="Times New Roman" w:cs="Times New Roman"/>
          <w:sz w:val="20"/>
          <w:lang w:val="en-US"/>
        </w:rPr>
        <w:t xml:space="preserve">R. </w:t>
      </w:r>
      <w:r w:rsidRPr="00652925">
        <w:rPr>
          <w:rFonts w:ascii="Times New Roman" w:hAnsi="Times New Roman" w:cs="Times New Roman"/>
          <w:sz w:val="20"/>
          <w:lang w:val="en-US"/>
        </w:rPr>
        <w:t xml:space="preserve">Härmas, </w:t>
      </w:r>
      <w:r w:rsidR="00CB5C8D" w:rsidRPr="00652925">
        <w:rPr>
          <w:rFonts w:ascii="Times New Roman" w:hAnsi="Times New Roman" w:cs="Times New Roman"/>
          <w:sz w:val="20"/>
          <w:lang w:val="en-US"/>
        </w:rPr>
        <w:t>E.</w:t>
      </w:r>
      <w:r w:rsidRPr="00652925">
        <w:rPr>
          <w:rFonts w:ascii="Times New Roman" w:hAnsi="Times New Roman" w:cs="Times New Roman"/>
          <w:sz w:val="20"/>
          <w:lang w:val="en-US"/>
        </w:rPr>
        <w:t xml:space="preserve"> Härk, </w:t>
      </w:r>
      <w:r w:rsidR="00CB5C8D" w:rsidRPr="00652925">
        <w:rPr>
          <w:rFonts w:ascii="Times New Roman" w:hAnsi="Times New Roman" w:cs="Times New Roman"/>
          <w:sz w:val="20"/>
          <w:lang w:val="en-US"/>
        </w:rPr>
        <w:t>B.</w:t>
      </w:r>
      <w:r w:rsidRPr="00652925">
        <w:rPr>
          <w:rFonts w:ascii="Times New Roman" w:hAnsi="Times New Roman" w:cs="Times New Roman"/>
          <w:sz w:val="20"/>
          <w:lang w:val="en-US"/>
        </w:rPr>
        <w:t xml:space="preserve"> Kent, </w:t>
      </w:r>
      <w:r w:rsidR="00CB5C8D" w:rsidRPr="00652925">
        <w:rPr>
          <w:rFonts w:ascii="Times New Roman" w:hAnsi="Times New Roman" w:cs="Times New Roman"/>
          <w:sz w:val="20"/>
          <w:lang w:val="en-US"/>
        </w:rPr>
        <w:t>H.</w:t>
      </w:r>
      <w:r w:rsidRPr="00652925">
        <w:rPr>
          <w:rFonts w:ascii="Times New Roman" w:hAnsi="Times New Roman" w:cs="Times New Roman"/>
          <w:sz w:val="20"/>
          <w:lang w:val="en-US"/>
        </w:rPr>
        <w:t xml:space="preserve"> Kurig,</w:t>
      </w:r>
      <w:r w:rsidR="00CB5C8D" w:rsidRPr="00652925">
        <w:rPr>
          <w:rFonts w:ascii="Times New Roman" w:hAnsi="Times New Roman" w:cs="Times New Roman"/>
          <w:sz w:val="20"/>
          <w:lang w:val="en-US"/>
        </w:rPr>
        <w:t xml:space="preserve"> M.</w:t>
      </w:r>
      <w:r w:rsidRPr="00652925">
        <w:rPr>
          <w:rFonts w:ascii="Times New Roman" w:hAnsi="Times New Roman" w:cs="Times New Roman"/>
          <w:sz w:val="20"/>
          <w:lang w:val="en-US"/>
        </w:rPr>
        <w:t xml:space="preserve"> Koppel, </w:t>
      </w:r>
      <w:r w:rsidR="00CB5C8D" w:rsidRPr="00652925">
        <w:rPr>
          <w:rFonts w:ascii="Times New Roman" w:hAnsi="Times New Roman" w:cs="Times New Roman"/>
          <w:sz w:val="20"/>
          <w:lang w:val="en-US"/>
        </w:rPr>
        <w:t>M.</w:t>
      </w:r>
      <w:r w:rsidRPr="00652925">
        <w:rPr>
          <w:rFonts w:ascii="Times New Roman" w:hAnsi="Times New Roman" w:cs="Times New Roman"/>
          <w:sz w:val="20"/>
          <w:lang w:val="en-US"/>
        </w:rPr>
        <w:t xml:space="preserve"> Russina, </w:t>
      </w:r>
      <w:r w:rsidR="00CB5C8D" w:rsidRPr="00652925">
        <w:rPr>
          <w:rFonts w:ascii="Times New Roman" w:hAnsi="Times New Roman" w:cs="Times New Roman"/>
          <w:sz w:val="20"/>
          <w:lang w:val="en-US"/>
        </w:rPr>
        <w:t>I.</w:t>
      </w:r>
      <w:r w:rsidRPr="00652925">
        <w:rPr>
          <w:rFonts w:ascii="Times New Roman" w:hAnsi="Times New Roman" w:cs="Times New Roman"/>
          <w:sz w:val="20"/>
          <w:lang w:val="en-US"/>
        </w:rPr>
        <w:t xml:space="preserve"> Tallo, </w:t>
      </w:r>
      <w:r w:rsidR="00CB5C8D" w:rsidRPr="00652925">
        <w:rPr>
          <w:rFonts w:ascii="Times New Roman" w:hAnsi="Times New Roman" w:cs="Times New Roman"/>
          <w:sz w:val="20"/>
          <w:lang w:val="en-US"/>
        </w:rPr>
        <w:t>T.</w:t>
      </w:r>
      <w:r w:rsidRPr="00652925">
        <w:rPr>
          <w:rFonts w:ascii="Times New Roman" w:hAnsi="Times New Roman" w:cs="Times New Roman"/>
          <w:sz w:val="20"/>
          <w:lang w:val="en-US"/>
        </w:rPr>
        <w:t xml:space="preserve"> Romann, </w:t>
      </w:r>
      <w:r w:rsidR="00CB5C8D" w:rsidRPr="00652925">
        <w:rPr>
          <w:rFonts w:ascii="Times New Roman" w:hAnsi="Times New Roman" w:cs="Times New Roman"/>
          <w:sz w:val="20"/>
          <w:lang w:val="en-US"/>
        </w:rPr>
        <w:t>J.</w:t>
      </w:r>
      <w:r w:rsidRPr="00652925">
        <w:rPr>
          <w:rFonts w:ascii="Times New Roman" w:hAnsi="Times New Roman" w:cs="Times New Roman"/>
          <w:sz w:val="20"/>
          <w:lang w:val="en-US"/>
        </w:rPr>
        <w:t xml:space="preserve"> Mata et al.</w:t>
      </w:r>
      <w:r w:rsidR="00CB5C8D" w:rsidRPr="00652925">
        <w:rPr>
          <w:rFonts w:ascii="Times New Roman" w:hAnsi="Times New Roman" w:cs="Times New Roman"/>
          <w:sz w:val="20"/>
          <w:lang w:val="en-US"/>
        </w:rPr>
        <w:t>,</w:t>
      </w:r>
      <w:r w:rsidRPr="00652925">
        <w:rPr>
          <w:rFonts w:ascii="Times New Roman" w:hAnsi="Times New Roman" w:cs="Times New Roman"/>
          <w:sz w:val="20"/>
          <w:lang w:val="en-US"/>
        </w:rPr>
        <w:t xml:space="preserve"> </w:t>
      </w:r>
      <w:r w:rsidRPr="00CB5C8D">
        <w:rPr>
          <w:rFonts w:ascii="Times New Roman" w:hAnsi="Times New Roman" w:cs="Times New Roman"/>
          <w:sz w:val="20"/>
          <w:lang w:val="en-US"/>
        </w:rPr>
        <w:t>Carbon</w:t>
      </w:r>
      <w:r w:rsidR="00CB5C8D">
        <w:rPr>
          <w:rFonts w:ascii="Times New Roman" w:hAnsi="Times New Roman" w:cs="Times New Roman"/>
          <w:sz w:val="20"/>
          <w:lang w:val="en-US"/>
        </w:rPr>
        <w:t xml:space="preserve">, </w:t>
      </w:r>
      <w:r w:rsidR="00CB5C8D" w:rsidRPr="00CB5C8D">
        <w:rPr>
          <w:rFonts w:ascii="Times New Roman" w:hAnsi="Times New Roman" w:cs="Times New Roman"/>
          <w:b/>
          <w:bCs/>
          <w:sz w:val="20"/>
          <w:lang w:val="en-US"/>
        </w:rPr>
        <w:t>171</w:t>
      </w:r>
      <w:r w:rsidR="00CB5C8D">
        <w:rPr>
          <w:rFonts w:ascii="Times New Roman" w:hAnsi="Times New Roman" w:cs="Times New Roman"/>
          <w:sz w:val="20"/>
          <w:lang w:val="en-US"/>
        </w:rPr>
        <w:t xml:space="preserve"> </w:t>
      </w:r>
      <w:r w:rsidR="00CB5C8D" w:rsidRPr="00CB5C8D">
        <w:rPr>
          <w:rFonts w:ascii="Times New Roman" w:hAnsi="Times New Roman" w:cs="Times New Roman"/>
          <w:sz w:val="20"/>
          <w:lang w:val="en-US"/>
        </w:rPr>
        <w:t>(</w:t>
      </w:r>
      <w:r w:rsidRPr="00CB5C8D">
        <w:rPr>
          <w:rFonts w:ascii="Times New Roman" w:hAnsi="Times New Roman" w:cs="Times New Roman"/>
          <w:sz w:val="20"/>
          <w:lang w:val="en-US"/>
        </w:rPr>
        <w:t>2021</w:t>
      </w:r>
      <w:r w:rsidR="00CB5C8D" w:rsidRPr="00CB5C8D">
        <w:rPr>
          <w:rFonts w:ascii="Times New Roman" w:hAnsi="Times New Roman" w:cs="Times New Roman"/>
          <w:sz w:val="20"/>
          <w:lang w:val="en-US"/>
        </w:rPr>
        <w:t>)</w:t>
      </w:r>
    </w:p>
    <w:p w14:paraId="30F29382" w14:textId="3C283FFE" w:rsidR="00724FD6" w:rsidRPr="00724FD6" w:rsidRDefault="00724FD6" w:rsidP="00554551">
      <w:pPr>
        <w:pStyle w:val="Bibliograafia"/>
        <w:jc w:val="both"/>
        <w:rPr>
          <w:rFonts w:ascii="Times New Roman" w:hAnsi="Times New Roman" w:cs="Times New Roman"/>
          <w:sz w:val="20"/>
          <w:lang w:val="en-US"/>
        </w:rPr>
      </w:pPr>
      <w:r w:rsidRPr="00724FD6">
        <w:rPr>
          <w:rFonts w:ascii="Times New Roman" w:hAnsi="Times New Roman" w:cs="Times New Roman"/>
          <w:sz w:val="20"/>
          <w:lang w:val="en-US"/>
        </w:rPr>
        <w:t xml:space="preserve">9. </w:t>
      </w:r>
      <w:r w:rsidRPr="00724FD6">
        <w:rPr>
          <w:rFonts w:ascii="Times New Roman" w:hAnsi="Times New Roman" w:cs="Times New Roman"/>
          <w:sz w:val="20"/>
          <w:lang w:val="en-US"/>
        </w:rPr>
        <w:tab/>
      </w:r>
      <w:r w:rsidR="00CB5C8D">
        <w:rPr>
          <w:rFonts w:ascii="Times New Roman" w:hAnsi="Times New Roman" w:cs="Times New Roman"/>
          <w:sz w:val="20"/>
          <w:lang w:val="en-US"/>
        </w:rPr>
        <w:t xml:space="preserve">H. </w:t>
      </w:r>
      <w:r w:rsidRPr="00724FD6">
        <w:rPr>
          <w:rFonts w:ascii="Times New Roman" w:hAnsi="Times New Roman" w:cs="Times New Roman"/>
          <w:sz w:val="20"/>
          <w:lang w:val="en-US"/>
        </w:rPr>
        <w:t xml:space="preserve">Kurig, </w:t>
      </w:r>
      <w:r w:rsidR="00CB5C8D">
        <w:rPr>
          <w:rFonts w:ascii="Times New Roman" w:hAnsi="Times New Roman" w:cs="Times New Roman"/>
          <w:sz w:val="20"/>
          <w:lang w:val="en-US"/>
        </w:rPr>
        <w:t>T.</w:t>
      </w:r>
      <w:r w:rsidRPr="00724FD6">
        <w:rPr>
          <w:rFonts w:ascii="Times New Roman" w:hAnsi="Times New Roman" w:cs="Times New Roman"/>
          <w:sz w:val="20"/>
          <w:lang w:val="en-US"/>
        </w:rPr>
        <w:t xml:space="preserve"> Romann, </w:t>
      </w:r>
      <w:r w:rsidR="00CB5C8D">
        <w:rPr>
          <w:rFonts w:ascii="Times New Roman" w:hAnsi="Times New Roman" w:cs="Times New Roman"/>
          <w:sz w:val="20"/>
          <w:lang w:val="en-US"/>
        </w:rPr>
        <w:t>A.</w:t>
      </w:r>
      <w:r w:rsidRPr="00724FD6">
        <w:rPr>
          <w:rFonts w:ascii="Times New Roman" w:hAnsi="Times New Roman" w:cs="Times New Roman"/>
          <w:sz w:val="20"/>
          <w:lang w:val="en-US"/>
        </w:rPr>
        <w:t xml:space="preserve"> Jänes, </w:t>
      </w:r>
      <w:r w:rsidR="00CB5C8D">
        <w:rPr>
          <w:rFonts w:ascii="Times New Roman" w:hAnsi="Times New Roman" w:cs="Times New Roman"/>
          <w:sz w:val="20"/>
          <w:lang w:val="en-US"/>
        </w:rPr>
        <w:t>E.</w:t>
      </w:r>
      <w:r w:rsidRPr="00724FD6">
        <w:rPr>
          <w:rFonts w:ascii="Times New Roman" w:hAnsi="Times New Roman" w:cs="Times New Roman"/>
          <w:sz w:val="20"/>
          <w:lang w:val="en-US"/>
        </w:rPr>
        <w:t xml:space="preserve"> Lust, </w:t>
      </w:r>
      <w:r w:rsidRPr="00CB5C8D">
        <w:rPr>
          <w:rFonts w:ascii="Times New Roman" w:hAnsi="Times New Roman" w:cs="Times New Roman"/>
          <w:sz w:val="20"/>
          <w:lang w:val="en-US"/>
        </w:rPr>
        <w:t>ECS Trans.</w:t>
      </w:r>
      <w:r w:rsidR="00CB5C8D" w:rsidRPr="00CB5C8D">
        <w:rPr>
          <w:rFonts w:ascii="Times New Roman" w:hAnsi="Times New Roman" w:cs="Times New Roman"/>
          <w:sz w:val="20"/>
          <w:lang w:val="en-US"/>
        </w:rPr>
        <w:t xml:space="preserve">, </w:t>
      </w:r>
      <w:r w:rsidR="00CB5C8D" w:rsidRPr="00CB5C8D">
        <w:rPr>
          <w:rFonts w:ascii="Times New Roman" w:hAnsi="Times New Roman" w:cs="Times New Roman"/>
          <w:b/>
          <w:bCs/>
          <w:sz w:val="20"/>
          <w:lang w:val="en-US"/>
        </w:rPr>
        <w:t>25</w:t>
      </w:r>
      <w:r w:rsidR="00CB5C8D" w:rsidRPr="00CB5C8D">
        <w:rPr>
          <w:rFonts w:ascii="Times New Roman" w:hAnsi="Times New Roman" w:cs="Times New Roman"/>
          <w:sz w:val="20"/>
          <w:lang w:val="en-US"/>
        </w:rPr>
        <w:t xml:space="preserve"> (2</w:t>
      </w:r>
      <w:r w:rsidRPr="00CB5C8D">
        <w:rPr>
          <w:rFonts w:ascii="Times New Roman" w:hAnsi="Times New Roman" w:cs="Times New Roman"/>
          <w:sz w:val="20"/>
          <w:lang w:val="en-US"/>
        </w:rPr>
        <w:t>010</w:t>
      </w:r>
      <w:r w:rsidR="00CB5C8D" w:rsidRPr="00CB5C8D">
        <w:rPr>
          <w:rFonts w:ascii="Times New Roman" w:hAnsi="Times New Roman" w:cs="Times New Roman"/>
          <w:sz w:val="20"/>
          <w:lang w:val="en-US"/>
        </w:rPr>
        <w:t>)</w:t>
      </w:r>
    </w:p>
    <w:p w14:paraId="6511B445" w14:textId="2FB9694F" w:rsidR="00724FD6" w:rsidRPr="00724FD6" w:rsidRDefault="00724FD6" w:rsidP="00554551">
      <w:pPr>
        <w:pStyle w:val="Bibliograafia"/>
        <w:jc w:val="both"/>
        <w:rPr>
          <w:rFonts w:ascii="Times New Roman" w:hAnsi="Times New Roman" w:cs="Times New Roman"/>
          <w:sz w:val="20"/>
          <w:lang w:val="en-US"/>
        </w:rPr>
      </w:pPr>
      <w:r w:rsidRPr="00724FD6">
        <w:rPr>
          <w:rFonts w:ascii="Times New Roman" w:hAnsi="Times New Roman" w:cs="Times New Roman"/>
          <w:sz w:val="20"/>
          <w:lang w:val="en-US"/>
        </w:rPr>
        <w:t xml:space="preserve">10. </w:t>
      </w:r>
      <w:r w:rsidRPr="00724FD6">
        <w:rPr>
          <w:rFonts w:ascii="Times New Roman" w:hAnsi="Times New Roman" w:cs="Times New Roman"/>
          <w:sz w:val="20"/>
          <w:lang w:val="en-US"/>
        </w:rPr>
        <w:tab/>
      </w:r>
      <w:r w:rsidR="00CB5C8D">
        <w:rPr>
          <w:rFonts w:ascii="Times New Roman" w:hAnsi="Times New Roman" w:cs="Times New Roman"/>
          <w:sz w:val="20"/>
          <w:lang w:val="en-US"/>
        </w:rPr>
        <w:t xml:space="preserve">M. </w:t>
      </w:r>
      <w:r w:rsidRPr="00724FD6">
        <w:rPr>
          <w:rFonts w:ascii="Times New Roman" w:hAnsi="Times New Roman" w:cs="Times New Roman"/>
          <w:sz w:val="20"/>
          <w:lang w:val="en-US"/>
        </w:rPr>
        <w:t xml:space="preserve">Käärik, </w:t>
      </w:r>
      <w:r w:rsidR="00CB5C8D">
        <w:rPr>
          <w:rFonts w:ascii="Times New Roman" w:hAnsi="Times New Roman" w:cs="Times New Roman"/>
          <w:sz w:val="20"/>
          <w:lang w:val="en-US"/>
        </w:rPr>
        <w:t>M.</w:t>
      </w:r>
      <w:r w:rsidRPr="00724FD6">
        <w:rPr>
          <w:rFonts w:ascii="Times New Roman" w:hAnsi="Times New Roman" w:cs="Times New Roman"/>
          <w:sz w:val="20"/>
          <w:lang w:val="en-US"/>
        </w:rPr>
        <w:t xml:space="preserve"> Arulepp, </w:t>
      </w:r>
      <w:r w:rsidR="00CB5C8D">
        <w:rPr>
          <w:rFonts w:ascii="Times New Roman" w:hAnsi="Times New Roman" w:cs="Times New Roman"/>
          <w:sz w:val="20"/>
          <w:lang w:val="en-US"/>
        </w:rPr>
        <w:t>M.</w:t>
      </w:r>
      <w:r w:rsidRPr="00724FD6">
        <w:rPr>
          <w:rFonts w:ascii="Times New Roman" w:hAnsi="Times New Roman" w:cs="Times New Roman"/>
          <w:sz w:val="20"/>
          <w:lang w:val="en-US"/>
        </w:rPr>
        <w:t xml:space="preserve"> Karelson, </w:t>
      </w:r>
      <w:r w:rsidR="00CB5C8D">
        <w:rPr>
          <w:rFonts w:ascii="Times New Roman" w:hAnsi="Times New Roman" w:cs="Times New Roman"/>
          <w:sz w:val="20"/>
          <w:lang w:val="en-US"/>
        </w:rPr>
        <w:t>J.</w:t>
      </w:r>
      <w:r w:rsidRPr="00724FD6">
        <w:rPr>
          <w:rFonts w:ascii="Times New Roman" w:hAnsi="Times New Roman" w:cs="Times New Roman"/>
          <w:sz w:val="20"/>
          <w:lang w:val="en-US"/>
        </w:rPr>
        <w:t xml:space="preserve"> Leis, </w:t>
      </w:r>
      <w:r w:rsidRPr="00CB5C8D">
        <w:rPr>
          <w:rFonts w:ascii="Times New Roman" w:hAnsi="Times New Roman" w:cs="Times New Roman"/>
          <w:sz w:val="20"/>
          <w:lang w:val="en-US"/>
        </w:rPr>
        <w:t>Carbon</w:t>
      </w:r>
      <w:r w:rsidR="00CB5C8D" w:rsidRPr="00CB5C8D">
        <w:rPr>
          <w:rFonts w:ascii="Times New Roman" w:hAnsi="Times New Roman" w:cs="Times New Roman"/>
          <w:sz w:val="20"/>
          <w:lang w:val="en-US"/>
        </w:rPr>
        <w:t>,</w:t>
      </w:r>
      <w:r w:rsidR="00CB5C8D">
        <w:rPr>
          <w:rFonts w:ascii="Times New Roman" w:hAnsi="Times New Roman" w:cs="Times New Roman"/>
          <w:sz w:val="20"/>
          <w:lang w:val="en-US"/>
        </w:rPr>
        <w:t xml:space="preserve"> </w:t>
      </w:r>
      <w:r w:rsidR="00CB5C8D" w:rsidRPr="00CB5C8D">
        <w:rPr>
          <w:rFonts w:ascii="Times New Roman" w:hAnsi="Times New Roman" w:cs="Times New Roman"/>
          <w:b/>
          <w:bCs/>
          <w:sz w:val="20"/>
          <w:lang w:val="en-US"/>
        </w:rPr>
        <w:t>46</w:t>
      </w:r>
      <w:r w:rsidR="00CB5C8D">
        <w:rPr>
          <w:rFonts w:ascii="Times New Roman" w:hAnsi="Times New Roman" w:cs="Times New Roman"/>
          <w:sz w:val="20"/>
          <w:lang w:val="en-US"/>
        </w:rPr>
        <w:t xml:space="preserve"> </w:t>
      </w:r>
      <w:r w:rsidR="00CB5C8D" w:rsidRPr="00CB5C8D">
        <w:rPr>
          <w:rFonts w:ascii="Times New Roman" w:hAnsi="Times New Roman" w:cs="Times New Roman"/>
          <w:sz w:val="20"/>
          <w:lang w:val="en-US"/>
        </w:rPr>
        <w:t>(</w:t>
      </w:r>
      <w:r w:rsidRPr="00CB5C8D">
        <w:rPr>
          <w:rFonts w:ascii="Times New Roman" w:hAnsi="Times New Roman" w:cs="Times New Roman"/>
          <w:sz w:val="20"/>
          <w:lang w:val="en-US"/>
        </w:rPr>
        <w:t>2008</w:t>
      </w:r>
      <w:r w:rsidR="00CB5C8D" w:rsidRPr="00CB5C8D">
        <w:rPr>
          <w:rFonts w:ascii="Times New Roman" w:hAnsi="Times New Roman" w:cs="Times New Roman"/>
          <w:sz w:val="20"/>
          <w:lang w:val="en-US"/>
        </w:rPr>
        <w:t>)</w:t>
      </w:r>
    </w:p>
    <w:p w14:paraId="733DB74B" w14:textId="16DA3EFF" w:rsidR="00724FD6" w:rsidRPr="00724FD6" w:rsidRDefault="00724FD6" w:rsidP="00554551">
      <w:pPr>
        <w:pStyle w:val="Bibliograafia"/>
        <w:jc w:val="both"/>
        <w:rPr>
          <w:rFonts w:ascii="Times New Roman" w:hAnsi="Times New Roman" w:cs="Times New Roman"/>
          <w:sz w:val="20"/>
          <w:lang w:val="en-US"/>
        </w:rPr>
      </w:pPr>
      <w:r w:rsidRPr="00724FD6">
        <w:rPr>
          <w:rFonts w:ascii="Times New Roman" w:hAnsi="Times New Roman" w:cs="Times New Roman"/>
          <w:sz w:val="20"/>
          <w:lang w:val="en-US"/>
        </w:rPr>
        <w:t xml:space="preserve">11. </w:t>
      </w:r>
      <w:r w:rsidRPr="00724FD6">
        <w:rPr>
          <w:rFonts w:ascii="Times New Roman" w:hAnsi="Times New Roman" w:cs="Times New Roman"/>
          <w:sz w:val="20"/>
          <w:lang w:val="en-US"/>
        </w:rPr>
        <w:tab/>
      </w:r>
      <w:r w:rsidR="00CB5C8D">
        <w:rPr>
          <w:rFonts w:ascii="Times New Roman" w:hAnsi="Times New Roman" w:cs="Times New Roman"/>
          <w:sz w:val="20"/>
          <w:lang w:val="en-US"/>
        </w:rPr>
        <w:t xml:space="preserve">A. </w:t>
      </w:r>
      <w:r w:rsidRPr="00724FD6">
        <w:rPr>
          <w:rFonts w:ascii="Times New Roman" w:hAnsi="Times New Roman" w:cs="Times New Roman"/>
          <w:sz w:val="20"/>
          <w:lang w:val="en-US"/>
        </w:rPr>
        <w:t xml:space="preserve">Jänes, </w:t>
      </w:r>
      <w:r w:rsidR="00CB5C8D">
        <w:rPr>
          <w:rFonts w:ascii="Times New Roman" w:hAnsi="Times New Roman" w:cs="Times New Roman"/>
          <w:sz w:val="20"/>
          <w:lang w:val="en-US"/>
        </w:rPr>
        <w:t>T.</w:t>
      </w:r>
      <w:r w:rsidRPr="00724FD6">
        <w:rPr>
          <w:rFonts w:ascii="Times New Roman" w:hAnsi="Times New Roman" w:cs="Times New Roman"/>
          <w:sz w:val="20"/>
          <w:lang w:val="en-US"/>
        </w:rPr>
        <w:t xml:space="preserve"> Thomberg, </w:t>
      </w:r>
      <w:r w:rsidR="00CB5C8D">
        <w:rPr>
          <w:rFonts w:ascii="Times New Roman" w:hAnsi="Times New Roman" w:cs="Times New Roman"/>
          <w:sz w:val="20"/>
          <w:lang w:val="en-US"/>
        </w:rPr>
        <w:t>H.</w:t>
      </w:r>
      <w:r w:rsidRPr="00724FD6">
        <w:rPr>
          <w:rFonts w:ascii="Times New Roman" w:hAnsi="Times New Roman" w:cs="Times New Roman"/>
          <w:sz w:val="20"/>
          <w:lang w:val="en-US"/>
        </w:rPr>
        <w:t xml:space="preserve"> Kurig, </w:t>
      </w:r>
      <w:r w:rsidR="00CB5C8D">
        <w:rPr>
          <w:rFonts w:ascii="Times New Roman" w:hAnsi="Times New Roman" w:cs="Times New Roman"/>
          <w:sz w:val="20"/>
          <w:lang w:val="en-US"/>
        </w:rPr>
        <w:t>E.</w:t>
      </w:r>
      <w:r w:rsidRPr="00724FD6">
        <w:rPr>
          <w:rFonts w:ascii="Times New Roman" w:hAnsi="Times New Roman" w:cs="Times New Roman"/>
          <w:sz w:val="20"/>
          <w:lang w:val="en-US"/>
        </w:rPr>
        <w:t xml:space="preserve"> Lust, </w:t>
      </w:r>
      <w:r w:rsidRPr="00CB5C8D">
        <w:rPr>
          <w:rFonts w:ascii="Times New Roman" w:hAnsi="Times New Roman" w:cs="Times New Roman"/>
          <w:sz w:val="20"/>
          <w:lang w:val="en-US"/>
        </w:rPr>
        <w:t>Carbon</w:t>
      </w:r>
      <w:r w:rsidR="00CB5C8D" w:rsidRPr="00CB5C8D">
        <w:rPr>
          <w:rFonts w:ascii="Times New Roman" w:hAnsi="Times New Roman" w:cs="Times New Roman"/>
          <w:sz w:val="20"/>
          <w:lang w:val="en-US"/>
        </w:rPr>
        <w:t>,</w:t>
      </w:r>
      <w:r w:rsidR="00CB5C8D">
        <w:rPr>
          <w:rFonts w:ascii="Times New Roman" w:hAnsi="Times New Roman" w:cs="Times New Roman"/>
          <w:i/>
          <w:iCs/>
          <w:sz w:val="20"/>
          <w:lang w:val="en-US"/>
        </w:rPr>
        <w:t xml:space="preserve"> </w:t>
      </w:r>
      <w:r w:rsidR="00CB5C8D" w:rsidRPr="00CB5C8D">
        <w:rPr>
          <w:rFonts w:ascii="Times New Roman" w:hAnsi="Times New Roman" w:cs="Times New Roman"/>
          <w:b/>
          <w:bCs/>
          <w:sz w:val="20"/>
          <w:lang w:val="en-US"/>
        </w:rPr>
        <w:t>47</w:t>
      </w:r>
      <w:r w:rsidRPr="00724FD6">
        <w:rPr>
          <w:rFonts w:ascii="Times New Roman" w:hAnsi="Times New Roman" w:cs="Times New Roman"/>
          <w:sz w:val="20"/>
          <w:lang w:val="en-US"/>
        </w:rPr>
        <w:t xml:space="preserve"> </w:t>
      </w:r>
      <w:r w:rsidR="00CB5C8D" w:rsidRPr="00CB5C8D">
        <w:rPr>
          <w:rFonts w:ascii="Times New Roman" w:hAnsi="Times New Roman" w:cs="Times New Roman"/>
          <w:sz w:val="20"/>
          <w:lang w:val="en-US"/>
        </w:rPr>
        <w:t>(</w:t>
      </w:r>
      <w:r w:rsidRPr="00CB5C8D">
        <w:rPr>
          <w:rFonts w:ascii="Times New Roman" w:hAnsi="Times New Roman" w:cs="Times New Roman"/>
          <w:sz w:val="20"/>
          <w:lang w:val="en-US"/>
        </w:rPr>
        <w:t>2009</w:t>
      </w:r>
      <w:r w:rsidR="00CB5C8D" w:rsidRPr="00CB5C8D">
        <w:rPr>
          <w:rFonts w:ascii="Times New Roman" w:hAnsi="Times New Roman" w:cs="Times New Roman"/>
          <w:sz w:val="20"/>
          <w:lang w:val="en-US"/>
        </w:rPr>
        <w:t>)</w:t>
      </w:r>
    </w:p>
    <w:p w14:paraId="21ADBE98" w14:textId="07877509" w:rsidR="00724FD6" w:rsidRPr="00724FD6" w:rsidRDefault="00724FD6" w:rsidP="00554551">
      <w:pPr>
        <w:pStyle w:val="Bibliograafia"/>
        <w:jc w:val="both"/>
        <w:rPr>
          <w:rFonts w:ascii="Times New Roman" w:hAnsi="Times New Roman" w:cs="Times New Roman"/>
          <w:sz w:val="20"/>
          <w:lang w:val="en-US"/>
        </w:rPr>
      </w:pPr>
      <w:r w:rsidRPr="00724FD6">
        <w:rPr>
          <w:rFonts w:ascii="Times New Roman" w:hAnsi="Times New Roman" w:cs="Times New Roman"/>
          <w:sz w:val="20"/>
          <w:lang w:val="en-US"/>
        </w:rPr>
        <w:t xml:space="preserve">12. </w:t>
      </w:r>
      <w:r w:rsidRPr="00724FD6">
        <w:rPr>
          <w:rFonts w:ascii="Times New Roman" w:hAnsi="Times New Roman" w:cs="Times New Roman"/>
          <w:sz w:val="20"/>
          <w:lang w:val="en-US"/>
        </w:rPr>
        <w:tab/>
      </w:r>
      <w:r w:rsidR="00CB5C8D">
        <w:rPr>
          <w:rFonts w:ascii="Times New Roman" w:hAnsi="Times New Roman" w:cs="Times New Roman"/>
          <w:sz w:val="20"/>
          <w:lang w:val="en-US"/>
        </w:rPr>
        <w:t xml:space="preserve">W. </w:t>
      </w:r>
      <w:r w:rsidRPr="00724FD6">
        <w:rPr>
          <w:rFonts w:ascii="Times New Roman" w:hAnsi="Times New Roman" w:cs="Times New Roman"/>
          <w:sz w:val="20"/>
          <w:lang w:val="en-US"/>
        </w:rPr>
        <w:t xml:space="preserve">Ruland, </w:t>
      </w:r>
      <w:r w:rsidR="00CB5C8D">
        <w:rPr>
          <w:rFonts w:ascii="Times New Roman" w:hAnsi="Times New Roman" w:cs="Times New Roman"/>
          <w:sz w:val="20"/>
          <w:lang w:val="en-US"/>
        </w:rPr>
        <w:t>B.</w:t>
      </w:r>
      <w:r w:rsidRPr="00724FD6">
        <w:rPr>
          <w:rFonts w:ascii="Times New Roman" w:hAnsi="Times New Roman" w:cs="Times New Roman"/>
          <w:sz w:val="20"/>
          <w:lang w:val="en-US"/>
        </w:rPr>
        <w:t xml:space="preserve"> Sm</w:t>
      </w:r>
      <w:r w:rsidRPr="00671B0F">
        <w:rPr>
          <w:rFonts w:ascii="Times New Roman" w:hAnsi="Times New Roman" w:cs="Times New Roman"/>
          <w:sz w:val="20"/>
          <w:lang w:val="en-US"/>
        </w:rPr>
        <w:t>arsly, J Appl Cryst, J Appl Crystallogr</w:t>
      </w:r>
      <w:r w:rsidR="00CB5C8D" w:rsidRPr="00671B0F">
        <w:rPr>
          <w:rFonts w:ascii="Times New Roman" w:hAnsi="Times New Roman" w:cs="Times New Roman"/>
          <w:sz w:val="20"/>
          <w:lang w:val="en-US"/>
        </w:rPr>
        <w:t xml:space="preserve">, </w:t>
      </w:r>
      <w:r w:rsidR="00CB5C8D" w:rsidRPr="00671B0F">
        <w:rPr>
          <w:rFonts w:ascii="Times New Roman" w:hAnsi="Times New Roman" w:cs="Times New Roman"/>
          <w:b/>
          <w:bCs/>
          <w:sz w:val="20"/>
          <w:lang w:val="en-US"/>
        </w:rPr>
        <w:t>35</w:t>
      </w:r>
      <w:r w:rsidRPr="00671B0F">
        <w:rPr>
          <w:rFonts w:ascii="Times New Roman" w:hAnsi="Times New Roman" w:cs="Times New Roman"/>
          <w:sz w:val="20"/>
          <w:lang w:val="en-US"/>
        </w:rPr>
        <w:t xml:space="preserve"> </w:t>
      </w:r>
      <w:r w:rsidR="00CB5C8D" w:rsidRPr="00671B0F">
        <w:rPr>
          <w:rFonts w:ascii="Times New Roman" w:hAnsi="Times New Roman" w:cs="Times New Roman"/>
          <w:sz w:val="20"/>
          <w:lang w:val="en-US"/>
        </w:rPr>
        <w:t>(</w:t>
      </w:r>
      <w:r w:rsidRPr="00671B0F">
        <w:rPr>
          <w:rFonts w:ascii="Times New Roman" w:hAnsi="Times New Roman" w:cs="Times New Roman"/>
          <w:sz w:val="20"/>
          <w:lang w:val="en-US"/>
        </w:rPr>
        <w:t>2002</w:t>
      </w:r>
      <w:r w:rsidR="00CB5C8D" w:rsidRPr="00671B0F">
        <w:rPr>
          <w:rFonts w:ascii="Times New Roman" w:hAnsi="Times New Roman" w:cs="Times New Roman"/>
          <w:sz w:val="20"/>
          <w:lang w:val="en-US"/>
        </w:rPr>
        <w:t>)</w:t>
      </w:r>
    </w:p>
    <w:p w14:paraId="21759AEC" w14:textId="3B4B484A" w:rsidR="00724FD6" w:rsidRPr="00724FD6" w:rsidRDefault="00724FD6" w:rsidP="00554551">
      <w:pPr>
        <w:pStyle w:val="Bibliograafia"/>
        <w:jc w:val="both"/>
        <w:rPr>
          <w:rFonts w:ascii="Times New Roman" w:hAnsi="Times New Roman" w:cs="Times New Roman"/>
          <w:sz w:val="20"/>
          <w:lang w:val="en-US"/>
        </w:rPr>
      </w:pPr>
      <w:r w:rsidRPr="00724FD6">
        <w:rPr>
          <w:rFonts w:ascii="Times New Roman" w:hAnsi="Times New Roman" w:cs="Times New Roman"/>
          <w:sz w:val="20"/>
          <w:lang w:val="en-US"/>
        </w:rPr>
        <w:t xml:space="preserve">13. </w:t>
      </w:r>
      <w:r w:rsidRPr="00724FD6">
        <w:rPr>
          <w:rFonts w:ascii="Times New Roman" w:hAnsi="Times New Roman" w:cs="Times New Roman"/>
          <w:sz w:val="20"/>
          <w:lang w:val="en-US"/>
        </w:rPr>
        <w:tab/>
      </w:r>
      <w:r w:rsidR="00671B0F">
        <w:rPr>
          <w:rFonts w:ascii="Times New Roman" w:hAnsi="Times New Roman" w:cs="Times New Roman"/>
          <w:sz w:val="20"/>
          <w:lang w:val="en-US"/>
        </w:rPr>
        <w:t xml:space="preserve">T. </w:t>
      </w:r>
      <w:r w:rsidRPr="00724FD6">
        <w:rPr>
          <w:rFonts w:ascii="Times New Roman" w:hAnsi="Times New Roman" w:cs="Times New Roman"/>
          <w:sz w:val="20"/>
          <w:lang w:val="en-US"/>
        </w:rPr>
        <w:t xml:space="preserve">Pfaff, </w:t>
      </w:r>
      <w:r w:rsidR="00671B0F">
        <w:rPr>
          <w:rFonts w:ascii="Times New Roman" w:hAnsi="Times New Roman" w:cs="Times New Roman"/>
          <w:sz w:val="20"/>
          <w:lang w:val="en-US"/>
        </w:rPr>
        <w:t>M.</w:t>
      </w:r>
      <w:r w:rsidRPr="00724FD6">
        <w:rPr>
          <w:rFonts w:ascii="Times New Roman" w:hAnsi="Times New Roman" w:cs="Times New Roman"/>
          <w:sz w:val="20"/>
          <w:lang w:val="en-US"/>
        </w:rPr>
        <w:t xml:space="preserve"> Simmermacher, </w:t>
      </w:r>
      <w:r w:rsidR="00671B0F">
        <w:rPr>
          <w:rFonts w:ascii="Times New Roman" w:hAnsi="Times New Roman" w:cs="Times New Roman"/>
          <w:sz w:val="20"/>
          <w:lang w:val="en-US"/>
        </w:rPr>
        <w:t xml:space="preserve">B.M. </w:t>
      </w:r>
      <w:r w:rsidRPr="00724FD6">
        <w:rPr>
          <w:rFonts w:ascii="Times New Roman" w:hAnsi="Times New Roman" w:cs="Times New Roman"/>
          <w:sz w:val="20"/>
          <w:lang w:val="en-US"/>
        </w:rPr>
        <w:t>Smarsly</w:t>
      </w:r>
      <w:r w:rsidRPr="00671B0F">
        <w:rPr>
          <w:rFonts w:ascii="Times New Roman" w:hAnsi="Times New Roman" w:cs="Times New Roman"/>
          <w:sz w:val="20"/>
          <w:lang w:val="en-US"/>
        </w:rPr>
        <w:t>, J Appl Crystallogr</w:t>
      </w:r>
      <w:r w:rsidR="00671B0F" w:rsidRPr="00671B0F">
        <w:rPr>
          <w:rFonts w:ascii="Times New Roman" w:hAnsi="Times New Roman" w:cs="Times New Roman"/>
          <w:sz w:val="20"/>
          <w:lang w:val="en-US"/>
        </w:rPr>
        <w:t xml:space="preserve">, </w:t>
      </w:r>
      <w:r w:rsidR="00671B0F" w:rsidRPr="00671B0F">
        <w:rPr>
          <w:rFonts w:ascii="Times New Roman" w:hAnsi="Times New Roman" w:cs="Times New Roman"/>
          <w:b/>
          <w:bCs/>
          <w:sz w:val="20"/>
          <w:lang w:val="en-US"/>
        </w:rPr>
        <w:t>51</w:t>
      </w:r>
      <w:r w:rsidR="00671B0F">
        <w:rPr>
          <w:rFonts w:ascii="Times New Roman" w:hAnsi="Times New Roman" w:cs="Times New Roman"/>
          <w:i/>
          <w:iCs/>
          <w:sz w:val="20"/>
          <w:lang w:val="en-US"/>
        </w:rPr>
        <w:t xml:space="preserve"> </w:t>
      </w:r>
      <w:r w:rsidR="00671B0F" w:rsidRPr="00671B0F">
        <w:rPr>
          <w:rFonts w:ascii="Times New Roman" w:hAnsi="Times New Roman" w:cs="Times New Roman"/>
          <w:sz w:val="20"/>
          <w:lang w:val="en-US"/>
        </w:rPr>
        <w:t>(</w:t>
      </w:r>
      <w:r w:rsidRPr="00671B0F">
        <w:rPr>
          <w:rFonts w:ascii="Times New Roman" w:hAnsi="Times New Roman" w:cs="Times New Roman"/>
          <w:sz w:val="20"/>
          <w:lang w:val="en-US"/>
        </w:rPr>
        <w:t>2018</w:t>
      </w:r>
      <w:r w:rsidR="00671B0F" w:rsidRPr="00671B0F">
        <w:rPr>
          <w:rFonts w:ascii="Times New Roman" w:hAnsi="Times New Roman" w:cs="Times New Roman"/>
          <w:sz w:val="20"/>
          <w:lang w:val="en-US"/>
        </w:rPr>
        <w:t>)</w:t>
      </w:r>
    </w:p>
    <w:p w14:paraId="37C51113" w14:textId="3E073C21" w:rsidR="00724FD6" w:rsidRPr="00671B0F" w:rsidRDefault="00724FD6" w:rsidP="00554551">
      <w:pPr>
        <w:pStyle w:val="Bibliograafia"/>
        <w:jc w:val="both"/>
        <w:rPr>
          <w:rFonts w:ascii="Times New Roman" w:hAnsi="Times New Roman" w:cs="Times New Roman"/>
          <w:sz w:val="20"/>
          <w:lang w:val="en-US"/>
        </w:rPr>
      </w:pPr>
      <w:r w:rsidRPr="00724FD6">
        <w:rPr>
          <w:rFonts w:ascii="Times New Roman" w:hAnsi="Times New Roman" w:cs="Times New Roman"/>
          <w:sz w:val="20"/>
          <w:lang w:val="en-US"/>
        </w:rPr>
        <w:t xml:space="preserve">14. </w:t>
      </w:r>
      <w:r w:rsidRPr="00724FD6">
        <w:rPr>
          <w:rFonts w:ascii="Times New Roman" w:hAnsi="Times New Roman" w:cs="Times New Roman"/>
          <w:sz w:val="20"/>
          <w:lang w:val="en-US"/>
        </w:rPr>
        <w:tab/>
      </w:r>
      <w:r w:rsidR="00671B0F">
        <w:rPr>
          <w:rFonts w:ascii="Times New Roman" w:hAnsi="Times New Roman" w:cs="Times New Roman"/>
          <w:sz w:val="20"/>
          <w:lang w:val="en-US"/>
        </w:rPr>
        <w:t xml:space="preserve">J. </w:t>
      </w:r>
      <w:r w:rsidRPr="00724FD6">
        <w:rPr>
          <w:rFonts w:ascii="Times New Roman" w:hAnsi="Times New Roman" w:cs="Times New Roman"/>
          <w:sz w:val="20"/>
          <w:lang w:val="en-US"/>
        </w:rPr>
        <w:t xml:space="preserve">Mesot, </w:t>
      </w:r>
      <w:r w:rsidR="00671B0F">
        <w:rPr>
          <w:rFonts w:ascii="Times New Roman" w:hAnsi="Times New Roman" w:cs="Times New Roman"/>
          <w:sz w:val="20"/>
          <w:lang w:val="en-US"/>
        </w:rPr>
        <w:t>S.</w:t>
      </w:r>
      <w:r w:rsidRPr="00724FD6">
        <w:rPr>
          <w:rFonts w:ascii="Times New Roman" w:hAnsi="Times New Roman" w:cs="Times New Roman"/>
          <w:sz w:val="20"/>
          <w:lang w:val="en-US"/>
        </w:rPr>
        <w:t xml:space="preserve"> Janssen, </w:t>
      </w:r>
      <w:r w:rsidR="00671B0F">
        <w:rPr>
          <w:rFonts w:ascii="Times New Roman" w:hAnsi="Times New Roman" w:cs="Times New Roman"/>
          <w:sz w:val="20"/>
          <w:lang w:val="en-US"/>
        </w:rPr>
        <w:t>L.</w:t>
      </w:r>
      <w:r w:rsidRPr="00724FD6">
        <w:rPr>
          <w:rFonts w:ascii="Times New Roman" w:hAnsi="Times New Roman" w:cs="Times New Roman"/>
          <w:sz w:val="20"/>
          <w:lang w:val="en-US"/>
        </w:rPr>
        <w:t xml:space="preserve"> Holitzner, </w:t>
      </w:r>
      <w:r w:rsidR="00671B0F">
        <w:rPr>
          <w:rFonts w:ascii="Times New Roman" w:hAnsi="Times New Roman" w:cs="Times New Roman"/>
          <w:sz w:val="20"/>
          <w:lang w:val="en-US"/>
        </w:rPr>
        <w:t xml:space="preserve">R. </w:t>
      </w:r>
      <w:r w:rsidRPr="00671B0F">
        <w:rPr>
          <w:rFonts w:ascii="Times New Roman" w:hAnsi="Times New Roman" w:cs="Times New Roman"/>
          <w:sz w:val="20"/>
          <w:lang w:val="en-US"/>
        </w:rPr>
        <w:t xml:space="preserve">Hempelmann, </w:t>
      </w:r>
      <w:r w:rsidR="00671B0F" w:rsidRPr="00671B0F">
        <w:rPr>
          <w:rFonts w:ascii="Times New Roman" w:hAnsi="Times New Roman" w:cs="Times New Roman"/>
          <w:sz w:val="20"/>
          <w:lang w:val="en-US"/>
        </w:rPr>
        <w:t xml:space="preserve">J. Neutron Res., </w:t>
      </w:r>
      <w:r w:rsidR="00671B0F" w:rsidRPr="00671B0F">
        <w:rPr>
          <w:rFonts w:ascii="Times New Roman" w:hAnsi="Times New Roman" w:cs="Times New Roman"/>
          <w:b/>
          <w:bCs/>
          <w:sz w:val="20"/>
          <w:lang w:val="en-US"/>
        </w:rPr>
        <w:t>3</w:t>
      </w:r>
      <w:r w:rsidR="00671B0F" w:rsidRPr="00671B0F">
        <w:rPr>
          <w:rFonts w:ascii="Times New Roman" w:hAnsi="Times New Roman" w:cs="Times New Roman"/>
          <w:sz w:val="20"/>
          <w:lang w:val="en-US"/>
        </w:rPr>
        <w:t xml:space="preserve"> (</w:t>
      </w:r>
      <w:r w:rsidRPr="00671B0F">
        <w:rPr>
          <w:rFonts w:ascii="Times New Roman" w:hAnsi="Times New Roman" w:cs="Times New Roman"/>
          <w:sz w:val="20"/>
          <w:lang w:val="en-US"/>
        </w:rPr>
        <w:t>1996</w:t>
      </w:r>
      <w:r w:rsidR="00671B0F" w:rsidRPr="00671B0F">
        <w:rPr>
          <w:rFonts w:ascii="Times New Roman" w:hAnsi="Times New Roman" w:cs="Times New Roman"/>
          <w:sz w:val="20"/>
          <w:lang w:val="en-US"/>
        </w:rPr>
        <w:t>)</w:t>
      </w:r>
    </w:p>
    <w:p w14:paraId="1E2CC85E" w14:textId="4E9EC07D" w:rsidR="00724FD6" w:rsidRPr="00724FD6" w:rsidRDefault="00724FD6" w:rsidP="00554551">
      <w:pPr>
        <w:pStyle w:val="Bibliograafia"/>
        <w:jc w:val="both"/>
        <w:rPr>
          <w:rFonts w:ascii="Times New Roman" w:hAnsi="Times New Roman" w:cs="Times New Roman"/>
          <w:sz w:val="20"/>
          <w:lang w:val="en-US"/>
        </w:rPr>
      </w:pPr>
      <w:r w:rsidRPr="00724FD6">
        <w:rPr>
          <w:rFonts w:ascii="Times New Roman" w:hAnsi="Times New Roman" w:cs="Times New Roman"/>
          <w:sz w:val="20"/>
          <w:lang w:val="en-US"/>
        </w:rPr>
        <w:t xml:space="preserve">15. </w:t>
      </w:r>
      <w:r w:rsidRPr="00724FD6">
        <w:rPr>
          <w:rFonts w:ascii="Times New Roman" w:hAnsi="Times New Roman" w:cs="Times New Roman"/>
          <w:sz w:val="20"/>
          <w:lang w:val="en-US"/>
        </w:rPr>
        <w:tab/>
      </w:r>
      <w:r w:rsidR="00671B0F">
        <w:rPr>
          <w:rFonts w:ascii="Times New Roman" w:hAnsi="Times New Roman" w:cs="Times New Roman"/>
          <w:sz w:val="20"/>
          <w:lang w:val="en-US"/>
        </w:rPr>
        <w:t xml:space="preserve">R.T. </w:t>
      </w:r>
      <w:r w:rsidRPr="00724FD6">
        <w:rPr>
          <w:rFonts w:ascii="Times New Roman" w:hAnsi="Times New Roman" w:cs="Times New Roman"/>
          <w:sz w:val="20"/>
          <w:lang w:val="en-US"/>
        </w:rPr>
        <w:t xml:space="preserve">Azuah, </w:t>
      </w:r>
      <w:r w:rsidR="00671B0F">
        <w:rPr>
          <w:rFonts w:ascii="Times New Roman" w:hAnsi="Times New Roman" w:cs="Times New Roman"/>
          <w:sz w:val="20"/>
          <w:lang w:val="en-US"/>
        </w:rPr>
        <w:t>L.R.</w:t>
      </w:r>
      <w:r w:rsidRPr="00724FD6">
        <w:rPr>
          <w:rFonts w:ascii="Times New Roman" w:hAnsi="Times New Roman" w:cs="Times New Roman"/>
          <w:sz w:val="20"/>
          <w:lang w:val="en-US"/>
        </w:rPr>
        <w:t xml:space="preserve"> Kneller, </w:t>
      </w:r>
      <w:r w:rsidR="00671B0F">
        <w:rPr>
          <w:rFonts w:ascii="Times New Roman" w:hAnsi="Times New Roman" w:cs="Times New Roman"/>
          <w:sz w:val="20"/>
          <w:lang w:val="en-US"/>
        </w:rPr>
        <w:t>Y.</w:t>
      </w:r>
      <w:r w:rsidRPr="00724FD6">
        <w:rPr>
          <w:rFonts w:ascii="Times New Roman" w:hAnsi="Times New Roman" w:cs="Times New Roman"/>
          <w:sz w:val="20"/>
          <w:lang w:val="en-US"/>
        </w:rPr>
        <w:t xml:space="preserve"> Qiu, </w:t>
      </w:r>
      <w:r w:rsidR="00671B0F">
        <w:rPr>
          <w:rFonts w:ascii="Times New Roman" w:hAnsi="Times New Roman" w:cs="Times New Roman"/>
          <w:sz w:val="20"/>
          <w:lang w:val="en-US"/>
        </w:rPr>
        <w:t xml:space="preserve">P.L.W. </w:t>
      </w:r>
      <w:r w:rsidRPr="00724FD6">
        <w:rPr>
          <w:rFonts w:ascii="Times New Roman" w:hAnsi="Times New Roman" w:cs="Times New Roman"/>
          <w:sz w:val="20"/>
          <w:lang w:val="en-US"/>
        </w:rPr>
        <w:t xml:space="preserve">Tregenna-Piggott, </w:t>
      </w:r>
      <w:r w:rsidR="00671B0F">
        <w:rPr>
          <w:rFonts w:ascii="Times New Roman" w:hAnsi="Times New Roman" w:cs="Times New Roman"/>
          <w:sz w:val="20"/>
          <w:lang w:val="en-US"/>
        </w:rPr>
        <w:t>C.M.</w:t>
      </w:r>
      <w:r w:rsidRPr="00724FD6">
        <w:rPr>
          <w:rFonts w:ascii="Times New Roman" w:hAnsi="Times New Roman" w:cs="Times New Roman"/>
          <w:sz w:val="20"/>
          <w:lang w:val="en-US"/>
        </w:rPr>
        <w:t xml:space="preserve"> Brown, </w:t>
      </w:r>
      <w:r w:rsidR="00671B0F">
        <w:rPr>
          <w:rFonts w:ascii="Times New Roman" w:hAnsi="Times New Roman" w:cs="Times New Roman"/>
          <w:sz w:val="20"/>
          <w:lang w:val="en-US"/>
        </w:rPr>
        <w:t>J.R.D</w:t>
      </w:r>
      <w:r w:rsidRPr="00724FD6">
        <w:rPr>
          <w:rFonts w:ascii="Times New Roman" w:hAnsi="Times New Roman" w:cs="Times New Roman"/>
          <w:sz w:val="20"/>
          <w:lang w:val="en-US"/>
        </w:rPr>
        <w:t xml:space="preserve"> Copley,</w:t>
      </w:r>
      <w:r w:rsidR="00671B0F">
        <w:rPr>
          <w:rFonts w:ascii="Times New Roman" w:hAnsi="Times New Roman" w:cs="Times New Roman"/>
          <w:sz w:val="20"/>
          <w:lang w:val="en-US"/>
        </w:rPr>
        <w:t xml:space="preserve"> R.M.</w:t>
      </w:r>
      <w:r w:rsidRPr="00724FD6">
        <w:rPr>
          <w:rFonts w:ascii="Times New Roman" w:hAnsi="Times New Roman" w:cs="Times New Roman"/>
          <w:sz w:val="20"/>
          <w:lang w:val="en-US"/>
        </w:rPr>
        <w:t xml:space="preserve"> </w:t>
      </w:r>
      <w:r w:rsidRPr="00671B0F">
        <w:rPr>
          <w:rFonts w:ascii="Times New Roman" w:hAnsi="Times New Roman" w:cs="Times New Roman"/>
          <w:sz w:val="20"/>
          <w:lang w:val="en-US"/>
        </w:rPr>
        <w:t>Dimeo, J Res Natl Inst Stand Technol</w:t>
      </w:r>
      <w:r w:rsidR="00671B0F" w:rsidRPr="00671B0F">
        <w:rPr>
          <w:rFonts w:ascii="Times New Roman" w:hAnsi="Times New Roman" w:cs="Times New Roman"/>
          <w:sz w:val="20"/>
          <w:lang w:val="en-US"/>
        </w:rPr>
        <w:t xml:space="preserve">, </w:t>
      </w:r>
      <w:r w:rsidR="00671B0F" w:rsidRPr="00671B0F">
        <w:rPr>
          <w:rFonts w:ascii="Times New Roman" w:hAnsi="Times New Roman" w:cs="Times New Roman"/>
          <w:b/>
          <w:bCs/>
          <w:sz w:val="20"/>
          <w:lang w:val="en-US"/>
        </w:rPr>
        <w:t>114</w:t>
      </w:r>
      <w:r w:rsidR="00671B0F" w:rsidRPr="00671B0F">
        <w:rPr>
          <w:rFonts w:ascii="Times New Roman" w:hAnsi="Times New Roman" w:cs="Times New Roman"/>
          <w:sz w:val="20"/>
          <w:lang w:val="en-US"/>
        </w:rPr>
        <w:t xml:space="preserve"> (</w:t>
      </w:r>
      <w:r w:rsidRPr="00671B0F">
        <w:rPr>
          <w:rFonts w:ascii="Times New Roman" w:hAnsi="Times New Roman" w:cs="Times New Roman"/>
          <w:sz w:val="20"/>
          <w:lang w:val="en-US"/>
        </w:rPr>
        <w:t>2009</w:t>
      </w:r>
      <w:r w:rsidR="00671B0F" w:rsidRPr="00671B0F">
        <w:rPr>
          <w:rFonts w:ascii="Times New Roman" w:hAnsi="Times New Roman" w:cs="Times New Roman"/>
          <w:sz w:val="20"/>
          <w:lang w:val="en-US"/>
        </w:rPr>
        <w:t>)</w:t>
      </w:r>
    </w:p>
    <w:p w14:paraId="370F760C" w14:textId="306113DA" w:rsidR="00724FD6" w:rsidRPr="00724FD6" w:rsidRDefault="00724FD6" w:rsidP="00554551">
      <w:pPr>
        <w:pStyle w:val="Bibliograafia"/>
        <w:jc w:val="both"/>
        <w:rPr>
          <w:rFonts w:ascii="Times New Roman" w:hAnsi="Times New Roman" w:cs="Times New Roman"/>
          <w:sz w:val="20"/>
          <w:lang w:val="en-US"/>
        </w:rPr>
      </w:pPr>
      <w:r w:rsidRPr="00DE24EA">
        <w:rPr>
          <w:rFonts w:ascii="Times New Roman" w:hAnsi="Times New Roman" w:cs="Times New Roman"/>
          <w:sz w:val="20"/>
          <w:lang w:val="es-PE"/>
        </w:rPr>
        <w:t xml:space="preserve">16. </w:t>
      </w:r>
      <w:r w:rsidRPr="00DE24EA">
        <w:rPr>
          <w:rFonts w:ascii="Times New Roman" w:hAnsi="Times New Roman" w:cs="Times New Roman"/>
          <w:sz w:val="20"/>
          <w:lang w:val="es-PE"/>
        </w:rPr>
        <w:tab/>
      </w:r>
      <w:r w:rsidR="00671B0F" w:rsidRPr="00DE24EA">
        <w:rPr>
          <w:rFonts w:ascii="Times New Roman" w:hAnsi="Times New Roman" w:cs="Times New Roman"/>
          <w:sz w:val="20"/>
          <w:lang w:val="es-PE"/>
        </w:rPr>
        <w:t xml:space="preserve">K. </w:t>
      </w:r>
      <w:r w:rsidRPr="00DE24EA">
        <w:rPr>
          <w:rFonts w:ascii="Times New Roman" w:hAnsi="Times New Roman" w:cs="Times New Roman"/>
          <w:sz w:val="20"/>
          <w:lang w:val="es-PE"/>
        </w:rPr>
        <w:t xml:space="preserve">Fukutani, </w:t>
      </w:r>
      <w:r w:rsidR="00671B0F" w:rsidRPr="00DE24EA">
        <w:rPr>
          <w:rFonts w:ascii="Times New Roman" w:hAnsi="Times New Roman" w:cs="Times New Roman"/>
          <w:sz w:val="20"/>
          <w:lang w:val="es-PE"/>
        </w:rPr>
        <w:t xml:space="preserve">T. </w:t>
      </w:r>
      <w:r w:rsidRPr="00DE24EA">
        <w:rPr>
          <w:rFonts w:ascii="Times New Roman" w:hAnsi="Times New Roman" w:cs="Times New Roman"/>
          <w:sz w:val="20"/>
          <w:lang w:val="es-PE"/>
        </w:rPr>
        <w:t xml:space="preserve">Sugimoto, </w:t>
      </w:r>
      <w:r w:rsidR="00671B0F" w:rsidRPr="00DE24EA">
        <w:rPr>
          <w:rFonts w:ascii="Times New Roman" w:hAnsi="Times New Roman" w:cs="Times New Roman"/>
          <w:sz w:val="20"/>
          <w:lang w:val="es-PE"/>
        </w:rPr>
        <w:t xml:space="preserve">Prog. </w:t>
      </w:r>
      <w:r w:rsidR="00671B0F" w:rsidRPr="00671B0F">
        <w:rPr>
          <w:rFonts w:ascii="Times New Roman" w:hAnsi="Times New Roman" w:cs="Times New Roman"/>
          <w:sz w:val="20"/>
          <w:lang w:val="en-US"/>
        </w:rPr>
        <w:t xml:space="preserve">Surf. Sci., </w:t>
      </w:r>
      <w:r w:rsidR="00671B0F" w:rsidRPr="00671B0F">
        <w:rPr>
          <w:rFonts w:ascii="Times New Roman" w:hAnsi="Times New Roman" w:cs="Times New Roman"/>
          <w:b/>
          <w:bCs/>
          <w:sz w:val="20"/>
          <w:lang w:val="en-US"/>
        </w:rPr>
        <w:t>88</w:t>
      </w:r>
      <w:r w:rsidRPr="00671B0F">
        <w:rPr>
          <w:rFonts w:ascii="Times New Roman" w:hAnsi="Times New Roman" w:cs="Times New Roman"/>
          <w:sz w:val="20"/>
          <w:lang w:val="en-US"/>
        </w:rPr>
        <w:t xml:space="preserve"> </w:t>
      </w:r>
      <w:r w:rsidR="00671B0F" w:rsidRPr="00671B0F">
        <w:rPr>
          <w:rFonts w:ascii="Times New Roman" w:hAnsi="Times New Roman" w:cs="Times New Roman"/>
          <w:sz w:val="20"/>
          <w:lang w:val="en-US"/>
        </w:rPr>
        <w:t>(</w:t>
      </w:r>
      <w:r w:rsidRPr="00671B0F">
        <w:rPr>
          <w:rFonts w:ascii="Times New Roman" w:hAnsi="Times New Roman" w:cs="Times New Roman"/>
          <w:sz w:val="20"/>
          <w:lang w:val="en-US"/>
        </w:rPr>
        <w:t>2013</w:t>
      </w:r>
      <w:r w:rsidR="00671B0F" w:rsidRPr="00671B0F">
        <w:rPr>
          <w:rFonts w:ascii="Times New Roman" w:hAnsi="Times New Roman" w:cs="Times New Roman"/>
          <w:sz w:val="20"/>
          <w:lang w:val="en-US"/>
        </w:rPr>
        <w:t>)</w:t>
      </w:r>
    </w:p>
    <w:p w14:paraId="6730712A" w14:textId="5A62E4E9" w:rsidR="00724FD6" w:rsidRPr="00724FD6" w:rsidRDefault="00724FD6" w:rsidP="00554551">
      <w:pPr>
        <w:pStyle w:val="Bibliograafia"/>
        <w:jc w:val="both"/>
        <w:rPr>
          <w:rFonts w:ascii="Times New Roman" w:hAnsi="Times New Roman" w:cs="Times New Roman"/>
          <w:sz w:val="20"/>
          <w:lang w:val="en-US"/>
        </w:rPr>
      </w:pPr>
      <w:r w:rsidRPr="00724FD6">
        <w:rPr>
          <w:rFonts w:ascii="Times New Roman" w:hAnsi="Times New Roman" w:cs="Times New Roman"/>
          <w:sz w:val="20"/>
          <w:lang w:val="en-US"/>
        </w:rPr>
        <w:t xml:space="preserve">17. </w:t>
      </w:r>
      <w:r w:rsidRPr="00724FD6">
        <w:rPr>
          <w:rFonts w:ascii="Times New Roman" w:hAnsi="Times New Roman" w:cs="Times New Roman"/>
          <w:sz w:val="20"/>
          <w:lang w:val="en-US"/>
        </w:rPr>
        <w:tab/>
      </w:r>
      <w:r w:rsidR="00671B0F">
        <w:rPr>
          <w:rFonts w:ascii="Times New Roman" w:hAnsi="Times New Roman" w:cs="Times New Roman"/>
          <w:sz w:val="20"/>
          <w:lang w:val="en-US"/>
        </w:rPr>
        <w:t xml:space="preserve">I.F. </w:t>
      </w:r>
      <w:r w:rsidRPr="00724FD6">
        <w:rPr>
          <w:rFonts w:ascii="Times New Roman" w:hAnsi="Times New Roman" w:cs="Times New Roman"/>
          <w:sz w:val="20"/>
          <w:lang w:val="en-US"/>
        </w:rPr>
        <w:t>Silvera</w:t>
      </w:r>
      <w:r w:rsidRPr="00671B0F">
        <w:rPr>
          <w:rFonts w:ascii="Times New Roman" w:hAnsi="Times New Roman" w:cs="Times New Roman"/>
          <w:sz w:val="20"/>
          <w:lang w:val="en-US"/>
        </w:rPr>
        <w:t>, Rev. Mod. Phys.</w:t>
      </w:r>
      <w:r w:rsidR="00671B0F" w:rsidRPr="00671B0F">
        <w:rPr>
          <w:rFonts w:ascii="Times New Roman" w:hAnsi="Times New Roman" w:cs="Times New Roman"/>
          <w:sz w:val="20"/>
          <w:lang w:val="en-US"/>
        </w:rPr>
        <w:t xml:space="preserve">, </w:t>
      </w:r>
      <w:r w:rsidR="00671B0F" w:rsidRPr="00671B0F">
        <w:rPr>
          <w:rFonts w:ascii="Times New Roman" w:hAnsi="Times New Roman" w:cs="Times New Roman"/>
          <w:b/>
          <w:bCs/>
          <w:sz w:val="20"/>
          <w:lang w:val="en-US"/>
        </w:rPr>
        <w:t>52</w:t>
      </w:r>
      <w:r w:rsidR="00671B0F" w:rsidRPr="00671B0F">
        <w:rPr>
          <w:rFonts w:ascii="Times New Roman" w:hAnsi="Times New Roman" w:cs="Times New Roman"/>
          <w:sz w:val="20"/>
          <w:lang w:val="en-US"/>
        </w:rPr>
        <w:t xml:space="preserve"> (</w:t>
      </w:r>
      <w:r w:rsidRPr="00671B0F">
        <w:rPr>
          <w:rFonts w:ascii="Times New Roman" w:hAnsi="Times New Roman" w:cs="Times New Roman"/>
          <w:sz w:val="20"/>
          <w:lang w:val="en-US"/>
        </w:rPr>
        <w:t>1980</w:t>
      </w:r>
      <w:r w:rsidR="00671B0F" w:rsidRPr="00671B0F">
        <w:rPr>
          <w:rFonts w:ascii="Times New Roman" w:hAnsi="Times New Roman" w:cs="Times New Roman"/>
          <w:sz w:val="20"/>
          <w:lang w:val="en-US"/>
        </w:rPr>
        <w:t>)</w:t>
      </w:r>
    </w:p>
    <w:p w14:paraId="48724B0C" w14:textId="6D9B7ED8" w:rsidR="00724FD6" w:rsidRPr="00724FD6" w:rsidRDefault="00724FD6" w:rsidP="00554551">
      <w:pPr>
        <w:pStyle w:val="Bibliograafia"/>
        <w:jc w:val="both"/>
        <w:rPr>
          <w:rFonts w:ascii="Times New Roman" w:hAnsi="Times New Roman" w:cs="Times New Roman"/>
          <w:sz w:val="20"/>
          <w:lang w:val="en-US"/>
        </w:rPr>
      </w:pPr>
      <w:r w:rsidRPr="00724FD6">
        <w:rPr>
          <w:rFonts w:ascii="Times New Roman" w:hAnsi="Times New Roman" w:cs="Times New Roman"/>
          <w:sz w:val="20"/>
          <w:lang w:val="en-US"/>
        </w:rPr>
        <w:t xml:space="preserve">18. </w:t>
      </w:r>
      <w:r w:rsidRPr="00724FD6">
        <w:rPr>
          <w:rFonts w:ascii="Times New Roman" w:hAnsi="Times New Roman" w:cs="Times New Roman"/>
          <w:sz w:val="20"/>
          <w:lang w:val="en-US"/>
        </w:rPr>
        <w:tab/>
      </w:r>
      <w:r w:rsidR="00671B0F">
        <w:rPr>
          <w:rFonts w:ascii="Times New Roman" w:hAnsi="Times New Roman" w:cs="Times New Roman"/>
          <w:sz w:val="20"/>
          <w:lang w:val="en-US"/>
        </w:rPr>
        <w:t xml:space="preserve">P.A. </w:t>
      </w:r>
      <w:r w:rsidRPr="00724FD6">
        <w:rPr>
          <w:rFonts w:ascii="Times New Roman" w:hAnsi="Times New Roman" w:cs="Times New Roman"/>
          <w:sz w:val="20"/>
          <w:lang w:val="en-US"/>
        </w:rPr>
        <w:t xml:space="preserve">Georgiev, </w:t>
      </w:r>
      <w:r w:rsidR="00671B0F">
        <w:rPr>
          <w:rFonts w:ascii="Times New Roman" w:hAnsi="Times New Roman" w:cs="Times New Roman"/>
          <w:sz w:val="20"/>
          <w:lang w:val="en-US"/>
        </w:rPr>
        <w:t>D.K.</w:t>
      </w:r>
      <w:r w:rsidRPr="00724FD6">
        <w:rPr>
          <w:rFonts w:ascii="Times New Roman" w:hAnsi="Times New Roman" w:cs="Times New Roman"/>
          <w:sz w:val="20"/>
          <w:lang w:val="en-US"/>
        </w:rPr>
        <w:t xml:space="preserve"> Ross, </w:t>
      </w:r>
      <w:r w:rsidR="00671B0F">
        <w:rPr>
          <w:rFonts w:ascii="Times New Roman" w:hAnsi="Times New Roman" w:cs="Times New Roman"/>
          <w:sz w:val="20"/>
          <w:lang w:val="en-US"/>
        </w:rPr>
        <w:t>P.</w:t>
      </w:r>
      <w:r w:rsidRPr="00724FD6">
        <w:rPr>
          <w:rFonts w:ascii="Times New Roman" w:hAnsi="Times New Roman" w:cs="Times New Roman"/>
          <w:sz w:val="20"/>
          <w:lang w:val="en-US"/>
        </w:rPr>
        <w:t xml:space="preserve"> Albers, </w:t>
      </w:r>
      <w:r w:rsidR="00671B0F">
        <w:rPr>
          <w:rFonts w:ascii="Times New Roman" w:hAnsi="Times New Roman" w:cs="Times New Roman"/>
          <w:sz w:val="20"/>
          <w:lang w:val="en-US"/>
        </w:rPr>
        <w:t>A.J.</w:t>
      </w:r>
      <w:r w:rsidRPr="00724FD6">
        <w:rPr>
          <w:rFonts w:ascii="Times New Roman" w:hAnsi="Times New Roman" w:cs="Times New Roman"/>
          <w:sz w:val="20"/>
          <w:lang w:val="en-US"/>
        </w:rPr>
        <w:t xml:space="preserve"> Ramirez-</w:t>
      </w:r>
      <w:r w:rsidRPr="00671B0F">
        <w:rPr>
          <w:rFonts w:ascii="Times New Roman" w:hAnsi="Times New Roman" w:cs="Times New Roman"/>
          <w:sz w:val="20"/>
          <w:lang w:val="en-US"/>
        </w:rPr>
        <w:t>Cuesta, Carbon</w:t>
      </w:r>
      <w:r w:rsidR="00671B0F" w:rsidRPr="00671B0F">
        <w:rPr>
          <w:rFonts w:ascii="Times New Roman" w:hAnsi="Times New Roman" w:cs="Times New Roman"/>
          <w:sz w:val="20"/>
          <w:lang w:val="en-US"/>
        </w:rPr>
        <w:t xml:space="preserve">, </w:t>
      </w:r>
      <w:r w:rsidR="00671B0F" w:rsidRPr="00671B0F">
        <w:rPr>
          <w:rFonts w:ascii="Times New Roman" w:hAnsi="Times New Roman" w:cs="Times New Roman"/>
          <w:b/>
          <w:bCs/>
          <w:sz w:val="20"/>
          <w:lang w:val="en-US"/>
        </w:rPr>
        <w:t>44</w:t>
      </w:r>
      <w:r w:rsidRPr="00671B0F">
        <w:rPr>
          <w:rFonts w:ascii="Times New Roman" w:hAnsi="Times New Roman" w:cs="Times New Roman"/>
          <w:sz w:val="20"/>
          <w:lang w:val="en-US"/>
        </w:rPr>
        <w:t xml:space="preserve"> </w:t>
      </w:r>
      <w:r w:rsidR="00671B0F" w:rsidRPr="00671B0F">
        <w:rPr>
          <w:rFonts w:ascii="Times New Roman" w:hAnsi="Times New Roman" w:cs="Times New Roman"/>
          <w:sz w:val="20"/>
          <w:lang w:val="en-US"/>
        </w:rPr>
        <w:t>(</w:t>
      </w:r>
      <w:r w:rsidRPr="00671B0F">
        <w:rPr>
          <w:rFonts w:ascii="Times New Roman" w:hAnsi="Times New Roman" w:cs="Times New Roman"/>
          <w:sz w:val="20"/>
          <w:lang w:val="en-US"/>
        </w:rPr>
        <w:t>2006</w:t>
      </w:r>
      <w:r w:rsidR="00671B0F" w:rsidRPr="00671B0F">
        <w:rPr>
          <w:rFonts w:ascii="Times New Roman" w:hAnsi="Times New Roman" w:cs="Times New Roman"/>
          <w:sz w:val="20"/>
          <w:lang w:val="en-US"/>
        </w:rPr>
        <w:t>)</w:t>
      </w:r>
    </w:p>
    <w:p w14:paraId="63B5EFB0" w14:textId="63D6C79B" w:rsidR="00724FD6" w:rsidRPr="00724FD6" w:rsidRDefault="00724FD6" w:rsidP="00554551">
      <w:pPr>
        <w:pStyle w:val="Bibliograafia"/>
        <w:jc w:val="both"/>
        <w:rPr>
          <w:rFonts w:ascii="Times New Roman" w:hAnsi="Times New Roman" w:cs="Times New Roman"/>
          <w:sz w:val="20"/>
          <w:lang w:val="en-US"/>
        </w:rPr>
      </w:pPr>
      <w:r w:rsidRPr="00724FD6">
        <w:rPr>
          <w:rFonts w:ascii="Times New Roman" w:hAnsi="Times New Roman" w:cs="Times New Roman"/>
          <w:sz w:val="20"/>
          <w:lang w:val="en-US"/>
        </w:rPr>
        <w:t xml:space="preserve">19. </w:t>
      </w:r>
      <w:r w:rsidRPr="00724FD6">
        <w:rPr>
          <w:rFonts w:ascii="Times New Roman" w:hAnsi="Times New Roman" w:cs="Times New Roman"/>
          <w:sz w:val="20"/>
          <w:lang w:val="en-US"/>
        </w:rPr>
        <w:tab/>
      </w:r>
      <w:r w:rsidR="00671B0F">
        <w:rPr>
          <w:rFonts w:ascii="Times New Roman" w:hAnsi="Times New Roman" w:cs="Times New Roman"/>
          <w:sz w:val="20"/>
          <w:lang w:val="en-US"/>
        </w:rPr>
        <w:t xml:space="preserve">L.R. </w:t>
      </w:r>
      <w:r w:rsidRPr="00724FD6">
        <w:rPr>
          <w:rFonts w:ascii="Times New Roman" w:hAnsi="Times New Roman" w:cs="Times New Roman"/>
          <w:sz w:val="20"/>
          <w:lang w:val="en-US"/>
        </w:rPr>
        <w:t xml:space="preserve">Terry, </w:t>
      </w:r>
      <w:r w:rsidR="00671B0F">
        <w:rPr>
          <w:rFonts w:ascii="Times New Roman" w:hAnsi="Times New Roman" w:cs="Times New Roman"/>
          <w:sz w:val="20"/>
          <w:lang w:val="en-US"/>
        </w:rPr>
        <w:t>S.</w:t>
      </w:r>
      <w:r w:rsidRPr="00724FD6">
        <w:rPr>
          <w:rFonts w:ascii="Times New Roman" w:hAnsi="Times New Roman" w:cs="Times New Roman"/>
          <w:sz w:val="20"/>
          <w:lang w:val="en-US"/>
        </w:rPr>
        <w:t xml:space="preserve"> Rols, </w:t>
      </w:r>
      <w:r w:rsidR="00671B0F">
        <w:rPr>
          <w:rFonts w:ascii="Times New Roman" w:hAnsi="Times New Roman" w:cs="Times New Roman"/>
          <w:sz w:val="20"/>
          <w:lang w:val="en-US"/>
        </w:rPr>
        <w:t>M.</w:t>
      </w:r>
      <w:r w:rsidRPr="00724FD6">
        <w:rPr>
          <w:rFonts w:ascii="Times New Roman" w:hAnsi="Times New Roman" w:cs="Times New Roman"/>
          <w:sz w:val="20"/>
          <w:lang w:val="en-US"/>
        </w:rPr>
        <w:t xml:space="preserve"> Tian, </w:t>
      </w:r>
      <w:r w:rsidR="00671B0F">
        <w:rPr>
          <w:rFonts w:ascii="Times New Roman" w:hAnsi="Times New Roman" w:cs="Times New Roman"/>
          <w:sz w:val="20"/>
          <w:lang w:val="en-US"/>
        </w:rPr>
        <w:t>I. da</w:t>
      </w:r>
      <w:r w:rsidRPr="00724FD6">
        <w:rPr>
          <w:rFonts w:ascii="Times New Roman" w:hAnsi="Times New Roman" w:cs="Times New Roman"/>
          <w:sz w:val="20"/>
          <w:lang w:val="en-US"/>
        </w:rPr>
        <w:t xml:space="preserve"> Silva, </w:t>
      </w:r>
      <w:r w:rsidR="00671B0F">
        <w:rPr>
          <w:rFonts w:ascii="Times New Roman" w:hAnsi="Times New Roman" w:cs="Times New Roman"/>
          <w:sz w:val="20"/>
          <w:lang w:val="en-US"/>
        </w:rPr>
        <w:t xml:space="preserve">S.J. </w:t>
      </w:r>
      <w:r w:rsidRPr="00724FD6">
        <w:rPr>
          <w:rFonts w:ascii="Times New Roman" w:hAnsi="Times New Roman" w:cs="Times New Roman"/>
          <w:sz w:val="20"/>
          <w:lang w:val="en-US"/>
        </w:rPr>
        <w:t xml:space="preserve">Bending, </w:t>
      </w:r>
      <w:r w:rsidR="00671B0F">
        <w:rPr>
          <w:rFonts w:ascii="Times New Roman" w:hAnsi="Times New Roman" w:cs="Times New Roman"/>
          <w:sz w:val="20"/>
          <w:lang w:val="en-US"/>
        </w:rPr>
        <w:t>V</w:t>
      </w:r>
      <w:r w:rsidR="00671B0F" w:rsidRPr="00554551">
        <w:rPr>
          <w:rFonts w:ascii="Times New Roman" w:hAnsi="Times New Roman" w:cs="Times New Roman"/>
          <w:sz w:val="20"/>
          <w:lang w:val="en-US"/>
        </w:rPr>
        <w:t>.P.</w:t>
      </w:r>
      <w:r w:rsidRPr="00554551">
        <w:rPr>
          <w:rFonts w:ascii="Times New Roman" w:hAnsi="Times New Roman" w:cs="Times New Roman"/>
          <w:sz w:val="20"/>
          <w:lang w:val="en-US"/>
        </w:rPr>
        <w:t xml:space="preserve"> Ting, Nanoscale</w:t>
      </w:r>
      <w:r w:rsidR="00554551" w:rsidRPr="00554551">
        <w:rPr>
          <w:rFonts w:ascii="Times New Roman" w:hAnsi="Times New Roman" w:cs="Times New Roman"/>
          <w:sz w:val="20"/>
          <w:lang w:val="en-US"/>
        </w:rPr>
        <w:t xml:space="preserve">, </w:t>
      </w:r>
      <w:r w:rsidR="00554551" w:rsidRPr="00554551">
        <w:rPr>
          <w:rFonts w:ascii="Times New Roman" w:hAnsi="Times New Roman" w:cs="Times New Roman"/>
          <w:b/>
          <w:bCs/>
          <w:sz w:val="20"/>
          <w:lang w:val="en-US"/>
        </w:rPr>
        <w:t>14</w:t>
      </w:r>
      <w:r w:rsidRPr="00554551">
        <w:rPr>
          <w:rFonts w:ascii="Times New Roman" w:hAnsi="Times New Roman" w:cs="Times New Roman"/>
          <w:sz w:val="20"/>
          <w:lang w:val="en-US"/>
        </w:rPr>
        <w:t xml:space="preserve"> </w:t>
      </w:r>
      <w:r w:rsidR="00554551" w:rsidRPr="00554551">
        <w:rPr>
          <w:rFonts w:ascii="Times New Roman" w:hAnsi="Times New Roman" w:cs="Times New Roman"/>
          <w:sz w:val="20"/>
          <w:lang w:val="en-US"/>
        </w:rPr>
        <w:t>(</w:t>
      </w:r>
      <w:r w:rsidRPr="00554551">
        <w:rPr>
          <w:rFonts w:ascii="Times New Roman" w:hAnsi="Times New Roman" w:cs="Times New Roman"/>
          <w:sz w:val="20"/>
          <w:lang w:val="en-US"/>
        </w:rPr>
        <w:t>2022</w:t>
      </w:r>
      <w:r w:rsidR="00554551" w:rsidRPr="00554551">
        <w:rPr>
          <w:rFonts w:ascii="Times New Roman" w:hAnsi="Times New Roman" w:cs="Times New Roman"/>
          <w:sz w:val="20"/>
          <w:lang w:val="en-US"/>
        </w:rPr>
        <w:t>)</w:t>
      </w:r>
    </w:p>
    <w:p w14:paraId="55B91518" w14:textId="53390E00" w:rsidR="00724FD6" w:rsidRPr="00724FD6" w:rsidRDefault="00724FD6" w:rsidP="00554551">
      <w:pPr>
        <w:pStyle w:val="Bibliograafia"/>
        <w:jc w:val="both"/>
        <w:rPr>
          <w:rFonts w:ascii="Times New Roman" w:hAnsi="Times New Roman" w:cs="Times New Roman"/>
          <w:sz w:val="20"/>
          <w:lang w:val="en-US"/>
        </w:rPr>
      </w:pPr>
      <w:r w:rsidRPr="00724FD6">
        <w:rPr>
          <w:rFonts w:ascii="Times New Roman" w:hAnsi="Times New Roman" w:cs="Times New Roman"/>
          <w:sz w:val="20"/>
          <w:lang w:val="en-US"/>
        </w:rPr>
        <w:t xml:space="preserve">20. </w:t>
      </w:r>
      <w:r w:rsidRPr="00724FD6">
        <w:rPr>
          <w:rFonts w:ascii="Times New Roman" w:hAnsi="Times New Roman" w:cs="Times New Roman"/>
          <w:sz w:val="20"/>
          <w:lang w:val="en-US"/>
        </w:rPr>
        <w:tab/>
      </w:r>
      <w:r w:rsidR="00554551">
        <w:rPr>
          <w:rFonts w:ascii="Times New Roman" w:hAnsi="Times New Roman" w:cs="Times New Roman"/>
          <w:sz w:val="20"/>
          <w:lang w:val="en-US"/>
        </w:rPr>
        <w:t xml:space="preserve">P.A. </w:t>
      </w:r>
      <w:r w:rsidRPr="00724FD6">
        <w:rPr>
          <w:rFonts w:ascii="Times New Roman" w:hAnsi="Times New Roman" w:cs="Times New Roman"/>
          <w:sz w:val="20"/>
          <w:lang w:val="en-US"/>
        </w:rPr>
        <w:t xml:space="preserve">Georgiev, </w:t>
      </w:r>
      <w:r w:rsidR="00554551">
        <w:rPr>
          <w:rFonts w:ascii="Times New Roman" w:hAnsi="Times New Roman" w:cs="Times New Roman"/>
          <w:sz w:val="20"/>
          <w:lang w:val="en-US"/>
        </w:rPr>
        <w:t>D.K.</w:t>
      </w:r>
      <w:r w:rsidRPr="00724FD6">
        <w:rPr>
          <w:rFonts w:ascii="Times New Roman" w:hAnsi="Times New Roman" w:cs="Times New Roman"/>
          <w:sz w:val="20"/>
          <w:lang w:val="en-US"/>
        </w:rPr>
        <w:t xml:space="preserve"> Ross, </w:t>
      </w:r>
      <w:r w:rsidR="00554551">
        <w:rPr>
          <w:rFonts w:ascii="Times New Roman" w:hAnsi="Times New Roman" w:cs="Times New Roman"/>
          <w:sz w:val="20"/>
          <w:lang w:val="en-US"/>
        </w:rPr>
        <w:t>A.</w:t>
      </w:r>
      <w:r w:rsidRPr="00724FD6">
        <w:rPr>
          <w:rFonts w:ascii="Times New Roman" w:hAnsi="Times New Roman" w:cs="Times New Roman"/>
          <w:sz w:val="20"/>
          <w:lang w:val="en-US"/>
        </w:rPr>
        <w:t xml:space="preserve"> De Monte, </w:t>
      </w:r>
      <w:r w:rsidR="00554551">
        <w:rPr>
          <w:rFonts w:ascii="Times New Roman" w:hAnsi="Times New Roman" w:cs="Times New Roman"/>
          <w:sz w:val="20"/>
          <w:lang w:val="en-US"/>
        </w:rPr>
        <w:t xml:space="preserve">U. </w:t>
      </w:r>
      <w:r w:rsidRPr="00724FD6">
        <w:rPr>
          <w:rFonts w:ascii="Times New Roman" w:hAnsi="Times New Roman" w:cs="Times New Roman"/>
          <w:sz w:val="20"/>
          <w:lang w:val="en-US"/>
        </w:rPr>
        <w:t xml:space="preserve">Montaretto-Marullo, </w:t>
      </w:r>
      <w:r w:rsidR="00554551">
        <w:rPr>
          <w:rFonts w:ascii="Times New Roman" w:hAnsi="Times New Roman" w:cs="Times New Roman"/>
          <w:sz w:val="20"/>
          <w:lang w:val="en-US"/>
        </w:rPr>
        <w:t>R.A.H.</w:t>
      </w:r>
      <w:r w:rsidRPr="00724FD6">
        <w:rPr>
          <w:rFonts w:ascii="Times New Roman" w:hAnsi="Times New Roman" w:cs="Times New Roman"/>
          <w:sz w:val="20"/>
          <w:lang w:val="en-US"/>
        </w:rPr>
        <w:t xml:space="preserve"> Edwards, </w:t>
      </w:r>
      <w:r w:rsidR="00554551">
        <w:rPr>
          <w:rFonts w:ascii="Times New Roman" w:hAnsi="Times New Roman" w:cs="Times New Roman"/>
          <w:sz w:val="20"/>
          <w:lang w:val="en-US"/>
        </w:rPr>
        <w:t>A.J.</w:t>
      </w:r>
      <w:r w:rsidRPr="00724FD6">
        <w:rPr>
          <w:rFonts w:ascii="Times New Roman" w:hAnsi="Times New Roman" w:cs="Times New Roman"/>
          <w:sz w:val="20"/>
          <w:lang w:val="en-US"/>
        </w:rPr>
        <w:t xml:space="preserve"> Ramirez-Cuesta, </w:t>
      </w:r>
      <w:r w:rsidR="00554551">
        <w:rPr>
          <w:rFonts w:ascii="Times New Roman" w:hAnsi="Times New Roman" w:cs="Times New Roman"/>
          <w:sz w:val="20"/>
          <w:lang w:val="en-US"/>
        </w:rPr>
        <w:t>M.A.</w:t>
      </w:r>
      <w:r w:rsidRPr="00724FD6">
        <w:rPr>
          <w:rFonts w:ascii="Times New Roman" w:hAnsi="Times New Roman" w:cs="Times New Roman"/>
          <w:sz w:val="20"/>
          <w:lang w:val="en-US"/>
        </w:rPr>
        <w:t xml:space="preserve"> Adams, </w:t>
      </w:r>
      <w:r w:rsidR="00554551">
        <w:rPr>
          <w:rFonts w:ascii="Times New Roman" w:hAnsi="Times New Roman" w:cs="Times New Roman"/>
          <w:sz w:val="20"/>
          <w:lang w:val="en-US"/>
        </w:rPr>
        <w:t>D.</w:t>
      </w:r>
      <w:r w:rsidRPr="00724FD6">
        <w:rPr>
          <w:rFonts w:ascii="Times New Roman" w:hAnsi="Times New Roman" w:cs="Times New Roman"/>
          <w:sz w:val="20"/>
          <w:lang w:val="en-US"/>
        </w:rPr>
        <w:t xml:space="preserve"> Colognesi, </w:t>
      </w:r>
      <w:r w:rsidRPr="00554551">
        <w:rPr>
          <w:rFonts w:ascii="Times New Roman" w:hAnsi="Times New Roman" w:cs="Times New Roman"/>
          <w:sz w:val="20"/>
          <w:lang w:val="en-US"/>
        </w:rPr>
        <w:t>Carbon</w:t>
      </w:r>
      <w:r w:rsidR="00554551" w:rsidRPr="00554551">
        <w:rPr>
          <w:rFonts w:ascii="Times New Roman" w:hAnsi="Times New Roman" w:cs="Times New Roman"/>
          <w:sz w:val="20"/>
          <w:lang w:val="en-US"/>
        </w:rPr>
        <w:t xml:space="preserve">, </w:t>
      </w:r>
      <w:r w:rsidR="00554551" w:rsidRPr="00554551">
        <w:rPr>
          <w:rFonts w:ascii="Times New Roman" w:hAnsi="Times New Roman" w:cs="Times New Roman"/>
          <w:b/>
          <w:bCs/>
          <w:sz w:val="20"/>
          <w:lang w:val="en-US"/>
        </w:rPr>
        <w:t>43</w:t>
      </w:r>
      <w:r w:rsidRPr="00554551">
        <w:rPr>
          <w:rFonts w:ascii="Times New Roman" w:hAnsi="Times New Roman" w:cs="Times New Roman"/>
          <w:sz w:val="20"/>
          <w:lang w:val="en-US"/>
        </w:rPr>
        <w:t xml:space="preserve"> </w:t>
      </w:r>
      <w:r w:rsidR="00554551" w:rsidRPr="00554551">
        <w:rPr>
          <w:rFonts w:ascii="Times New Roman" w:hAnsi="Times New Roman" w:cs="Times New Roman"/>
          <w:sz w:val="20"/>
          <w:lang w:val="en-US"/>
        </w:rPr>
        <w:t>(</w:t>
      </w:r>
      <w:r w:rsidRPr="00554551">
        <w:rPr>
          <w:rFonts w:ascii="Times New Roman" w:hAnsi="Times New Roman" w:cs="Times New Roman"/>
          <w:sz w:val="20"/>
          <w:lang w:val="en-US"/>
        </w:rPr>
        <w:t>2005</w:t>
      </w:r>
      <w:r w:rsidR="00554551" w:rsidRPr="00554551">
        <w:rPr>
          <w:rFonts w:ascii="Times New Roman" w:hAnsi="Times New Roman" w:cs="Times New Roman"/>
          <w:sz w:val="20"/>
          <w:lang w:val="en-US"/>
        </w:rPr>
        <w:t>)</w:t>
      </w:r>
    </w:p>
    <w:p w14:paraId="386B119C" w14:textId="46BDD8F4" w:rsidR="00724FD6" w:rsidRDefault="00724FD6" w:rsidP="00554551">
      <w:pPr>
        <w:pStyle w:val="Bibliograafia"/>
        <w:jc w:val="both"/>
        <w:rPr>
          <w:rFonts w:ascii="Times New Roman" w:hAnsi="Times New Roman" w:cs="Times New Roman"/>
          <w:sz w:val="20"/>
          <w:lang w:val="en-US"/>
        </w:rPr>
      </w:pPr>
      <w:r w:rsidRPr="00724FD6">
        <w:rPr>
          <w:rFonts w:ascii="Times New Roman" w:hAnsi="Times New Roman" w:cs="Times New Roman"/>
          <w:sz w:val="20"/>
          <w:lang w:val="en-US"/>
        </w:rPr>
        <w:t xml:space="preserve">21. </w:t>
      </w:r>
      <w:r w:rsidRPr="00724FD6">
        <w:rPr>
          <w:rFonts w:ascii="Times New Roman" w:hAnsi="Times New Roman" w:cs="Times New Roman"/>
          <w:sz w:val="20"/>
          <w:lang w:val="en-US"/>
        </w:rPr>
        <w:tab/>
      </w:r>
      <w:r w:rsidR="00554551">
        <w:rPr>
          <w:rFonts w:ascii="Times New Roman" w:hAnsi="Times New Roman" w:cs="Times New Roman"/>
          <w:sz w:val="20"/>
          <w:lang w:val="en-US"/>
        </w:rPr>
        <w:t xml:space="preserve">C.I. </w:t>
      </w:r>
      <w:r w:rsidRPr="00724FD6">
        <w:rPr>
          <w:rFonts w:ascii="Times New Roman" w:hAnsi="Times New Roman" w:cs="Times New Roman"/>
          <w:sz w:val="20"/>
          <w:lang w:val="en-US"/>
        </w:rPr>
        <w:t xml:space="preserve">Contescu, </w:t>
      </w:r>
      <w:r w:rsidR="00554551">
        <w:rPr>
          <w:rFonts w:ascii="Times New Roman" w:hAnsi="Times New Roman" w:cs="Times New Roman"/>
          <w:sz w:val="20"/>
          <w:lang w:val="en-US"/>
        </w:rPr>
        <w:t>D.</w:t>
      </w:r>
      <w:r w:rsidRPr="00724FD6">
        <w:rPr>
          <w:rFonts w:ascii="Times New Roman" w:hAnsi="Times New Roman" w:cs="Times New Roman"/>
          <w:sz w:val="20"/>
          <w:lang w:val="en-US"/>
        </w:rPr>
        <w:t xml:space="preserve"> Saha, </w:t>
      </w:r>
      <w:r w:rsidR="00554551">
        <w:rPr>
          <w:rFonts w:ascii="Times New Roman" w:hAnsi="Times New Roman" w:cs="Times New Roman"/>
          <w:sz w:val="20"/>
          <w:lang w:val="en-US"/>
        </w:rPr>
        <w:t>N.C.</w:t>
      </w:r>
      <w:r w:rsidRPr="00724FD6">
        <w:rPr>
          <w:rFonts w:ascii="Times New Roman" w:hAnsi="Times New Roman" w:cs="Times New Roman"/>
          <w:sz w:val="20"/>
          <w:lang w:val="en-US"/>
        </w:rPr>
        <w:t xml:space="preserve"> Gallego, </w:t>
      </w:r>
      <w:r w:rsidR="00554551">
        <w:rPr>
          <w:rFonts w:ascii="Times New Roman" w:hAnsi="Times New Roman" w:cs="Times New Roman"/>
          <w:sz w:val="20"/>
          <w:lang w:val="en-US"/>
        </w:rPr>
        <w:t xml:space="preserve">E. </w:t>
      </w:r>
      <w:r w:rsidRPr="00724FD6">
        <w:rPr>
          <w:rFonts w:ascii="Times New Roman" w:hAnsi="Times New Roman" w:cs="Times New Roman"/>
          <w:sz w:val="20"/>
          <w:lang w:val="en-US"/>
        </w:rPr>
        <w:t xml:space="preserve">Mamontov, </w:t>
      </w:r>
      <w:r w:rsidR="00554551">
        <w:rPr>
          <w:rFonts w:ascii="Times New Roman" w:hAnsi="Times New Roman" w:cs="Times New Roman"/>
          <w:sz w:val="20"/>
          <w:lang w:val="en-US"/>
        </w:rPr>
        <w:t>A</w:t>
      </w:r>
      <w:r w:rsidR="00554551" w:rsidRPr="00554551">
        <w:rPr>
          <w:rFonts w:ascii="Times New Roman" w:hAnsi="Times New Roman" w:cs="Times New Roman"/>
          <w:sz w:val="20"/>
          <w:lang w:val="en-US"/>
        </w:rPr>
        <w:t>.I.</w:t>
      </w:r>
      <w:r w:rsidRPr="00554551">
        <w:rPr>
          <w:rFonts w:ascii="Times New Roman" w:hAnsi="Times New Roman" w:cs="Times New Roman"/>
          <w:sz w:val="20"/>
          <w:lang w:val="en-US"/>
        </w:rPr>
        <w:t xml:space="preserve"> Kolesnikov, </w:t>
      </w:r>
      <w:r w:rsidR="00554551" w:rsidRPr="00554551">
        <w:rPr>
          <w:rFonts w:ascii="Times New Roman" w:hAnsi="Times New Roman" w:cs="Times New Roman"/>
          <w:sz w:val="20"/>
          <w:lang w:val="en-US"/>
        </w:rPr>
        <w:t>V.V.</w:t>
      </w:r>
      <w:r w:rsidRPr="00554551">
        <w:rPr>
          <w:rFonts w:ascii="Times New Roman" w:hAnsi="Times New Roman" w:cs="Times New Roman"/>
          <w:sz w:val="20"/>
          <w:lang w:val="en-US"/>
        </w:rPr>
        <w:t xml:space="preserve"> Bhat, Carbon</w:t>
      </w:r>
      <w:r w:rsidR="00554551" w:rsidRPr="00554551">
        <w:rPr>
          <w:rFonts w:ascii="Times New Roman" w:hAnsi="Times New Roman" w:cs="Times New Roman"/>
          <w:sz w:val="20"/>
          <w:lang w:val="en-US"/>
        </w:rPr>
        <w:t xml:space="preserve">, </w:t>
      </w:r>
      <w:r w:rsidR="00554551" w:rsidRPr="00554551">
        <w:rPr>
          <w:rFonts w:ascii="Times New Roman" w:hAnsi="Times New Roman" w:cs="Times New Roman"/>
          <w:b/>
          <w:bCs/>
          <w:sz w:val="20"/>
          <w:lang w:val="en-US"/>
        </w:rPr>
        <w:t>50</w:t>
      </w:r>
      <w:r w:rsidR="00554551" w:rsidRPr="00554551">
        <w:rPr>
          <w:rFonts w:ascii="Times New Roman" w:hAnsi="Times New Roman" w:cs="Times New Roman"/>
          <w:sz w:val="20"/>
          <w:lang w:val="en-US"/>
        </w:rPr>
        <w:t xml:space="preserve"> (</w:t>
      </w:r>
      <w:r w:rsidRPr="00554551">
        <w:rPr>
          <w:rFonts w:ascii="Times New Roman" w:hAnsi="Times New Roman" w:cs="Times New Roman"/>
          <w:sz w:val="20"/>
          <w:lang w:val="en-US"/>
        </w:rPr>
        <w:t>2012</w:t>
      </w:r>
      <w:r w:rsidR="00554551" w:rsidRPr="00554551">
        <w:rPr>
          <w:rFonts w:ascii="Times New Roman" w:hAnsi="Times New Roman" w:cs="Times New Roman"/>
          <w:sz w:val="20"/>
          <w:lang w:val="en-US"/>
        </w:rPr>
        <w:t>)</w:t>
      </w:r>
    </w:p>
    <w:p w14:paraId="10BA272D" w14:textId="4850E45F" w:rsidR="004163D5" w:rsidRPr="00D918FF" w:rsidRDefault="004163D5" w:rsidP="00D918FF">
      <w:pPr>
        <w:pStyle w:val="Bibliograafia"/>
        <w:jc w:val="both"/>
        <w:rPr>
          <w:rFonts w:ascii="Times New Roman" w:hAnsi="Times New Roman" w:cs="Times New Roman"/>
          <w:sz w:val="20"/>
          <w:lang w:val="en-US"/>
        </w:rPr>
      </w:pPr>
      <w:r w:rsidRPr="00D918FF">
        <w:rPr>
          <w:rFonts w:ascii="Times New Roman" w:hAnsi="Times New Roman" w:cs="Times New Roman"/>
          <w:sz w:val="20"/>
          <w:lang w:val="en-US"/>
        </w:rPr>
        <w:t xml:space="preserve">22. </w:t>
      </w:r>
      <w:r w:rsidRPr="00D918FF">
        <w:rPr>
          <w:rFonts w:ascii="Times New Roman" w:hAnsi="Times New Roman" w:cs="Times New Roman"/>
          <w:sz w:val="20"/>
          <w:lang w:val="en-US"/>
        </w:rPr>
        <w:tab/>
        <w:t xml:space="preserve">K.T. O’Neill, S. Al Ghafri, B. da Silva Falcqão, L. Tang, K. Kozielski, M.L. Johns, Chem Eng Process, </w:t>
      </w:r>
      <w:r w:rsidRPr="00D918FF">
        <w:rPr>
          <w:rFonts w:ascii="Times New Roman" w:hAnsi="Times New Roman" w:cs="Times New Roman"/>
          <w:b/>
          <w:bCs/>
          <w:sz w:val="20"/>
          <w:lang w:val="en-US"/>
        </w:rPr>
        <w:t>184</w:t>
      </w:r>
      <w:r w:rsidRPr="00D918FF">
        <w:rPr>
          <w:rFonts w:ascii="Times New Roman" w:hAnsi="Times New Roman" w:cs="Times New Roman"/>
          <w:sz w:val="20"/>
          <w:lang w:val="en-US"/>
        </w:rPr>
        <w:t xml:space="preserve"> (2023)</w:t>
      </w:r>
    </w:p>
    <w:p w14:paraId="7E8F69FB" w14:textId="67B3A490" w:rsidR="00724FD6" w:rsidRPr="00724FD6" w:rsidRDefault="00724FD6" w:rsidP="00554551">
      <w:pPr>
        <w:pStyle w:val="Bibliograafia"/>
        <w:jc w:val="both"/>
        <w:rPr>
          <w:rFonts w:ascii="Times New Roman" w:hAnsi="Times New Roman" w:cs="Times New Roman"/>
          <w:sz w:val="20"/>
          <w:lang w:val="en-US"/>
        </w:rPr>
      </w:pPr>
      <w:r w:rsidRPr="00D918FF">
        <w:rPr>
          <w:rFonts w:ascii="Times New Roman" w:hAnsi="Times New Roman" w:cs="Times New Roman"/>
          <w:sz w:val="20"/>
          <w:lang w:val="en-US"/>
        </w:rPr>
        <w:t>2</w:t>
      </w:r>
      <w:r w:rsidR="004163D5" w:rsidRPr="00D918FF">
        <w:rPr>
          <w:rFonts w:ascii="Times New Roman" w:hAnsi="Times New Roman" w:cs="Times New Roman"/>
          <w:sz w:val="20"/>
          <w:lang w:val="en-US"/>
        </w:rPr>
        <w:t>3</w:t>
      </w:r>
      <w:r w:rsidRPr="00D918FF">
        <w:rPr>
          <w:rFonts w:ascii="Times New Roman" w:hAnsi="Times New Roman" w:cs="Times New Roman"/>
          <w:sz w:val="20"/>
          <w:lang w:val="en-US"/>
        </w:rPr>
        <w:t>.</w:t>
      </w:r>
      <w:r w:rsidRPr="00724FD6">
        <w:rPr>
          <w:rFonts w:ascii="Times New Roman" w:hAnsi="Times New Roman" w:cs="Times New Roman"/>
          <w:sz w:val="20"/>
          <w:lang w:val="en-US"/>
        </w:rPr>
        <w:t xml:space="preserve"> </w:t>
      </w:r>
      <w:r w:rsidRPr="00724FD6">
        <w:rPr>
          <w:rFonts w:ascii="Times New Roman" w:hAnsi="Times New Roman" w:cs="Times New Roman"/>
          <w:sz w:val="20"/>
          <w:lang w:val="en-US"/>
        </w:rPr>
        <w:tab/>
      </w:r>
      <w:r w:rsidR="00554551">
        <w:rPr>
          <w:rFonts w:ascii="Times New Roman" w:hAnsi="Times New Roman" w:cs="Times New Roman"/>
          <w:sz w:val="20"/>
          <w:lang w:val="en-US"/>
        </w:rPr>
        <w:t xml:space="preserve">P.R. </w:t>
      </w:r>
      <w:r w:rsidRPr="00724FD6">
        <w:rPr>
          <w:rFonts w:ascii="Times New Roman" w:hAnsi="Times New Roman" w:cs="Times New Roman"/>
          <w:sz w:val="20"/>
          <w:lang w:val="en-US"/>
        </w:rPr>
        <w:t xml:space="preserve">Kubik, </w:t>
      </w:r>
      <w:r w:rsidR="00554551">
        <w:rPr>
          <w:rFonts w:ascii="Times New Roman" w:hAnsi="Times New Roman" w:cs="Times New Roman"/>
          <w:sz w:val="20"/>
          <w:lang w:val="en-US"/>
        </w:rPr>
        <w:t>W.N.</w:t>
      </w:r>
      <w:r w:rsidRPr="00724FD6">
        <w:rPr>
          <w:rFonts w:ascii="Times New Roman" w:hAnsi="Times New Roman" w:cs="Times New Roman"/>
          <w:sz w:val="20"/>
          <w:lang w:val="en-US"/>
        </w:rPr>
        <w:t xml:space="preserve"> Ha</w:t>
      </w:r>
      <w:r w:rsidRPr="00554551">
        <w:rPr>
          <w:rFonts w:ascii="Times New Roman" w:hAnsi="Times New Roman" w:cs="Times New Roman"/>
          <w:sz w:val="20"/>
          <w:lang w:val="en-US"/>
        </w:rPr>
        <w:t xml:space="preserve">rdy, </w:t>
      </w:r>
      <w:r w:rsidR="00554551" w:rsidRPr="00554551">
        <w:rPr>
          <w:rFonts w:ascii="Times New Roman" w:hAnsi="Times New Roman" w:cs="Times New Roman"/>
          <w:sz w:val="20"/>
          <w:lang w:val="en-US"/>
        </w:rPr>
        <w:t>H.</w:t>
      </w:r>
      <w:r w:rsidRPr="00554551">
        <w:rPr>
          <w:rFonts w:ascii="Times New Roman" w:hAnsi="Times New Roman" w:cs="Times New Roman"/>
          <w:sz w:val="20"/>
          <w:lang w:val="en-US"/>
        </w:rPr>
        <w:t xml:space="preserve"> Glattli, Can. J. Phys</w:t>
      </w:r>
      <w:r w:rsidR="00554551" w:rsidRPr="00554551">
        <w:rPr>
          <w:rFonts w:ascii="Times New Roman" w:hAnsi="Times New Roman" w:cs="Times New Roman"/>
          <w:sz w:val="20"/>
          <w:lang w:val="en-US"/>
        </w:rPr>
        <w:t xml:space="preserve">, </w:t>
      </w:r>
      <w:r w:rsidR="00554551" w:rsidRPr="00554551">
        <w:rPr>
          <w:rFonts w:ascii="Times New Roman" w:hAnsi="Times New Roman" w:cs="Times New Roman"/>
          <w:b/>
          <w:bCs/>
          <w:sz w:val="20"/>
          <w:lang w:val="en-US"/>
        </w:rPr>
        <w:t>63</w:t>
      </w:r>
      <w:r w:rsidRPr="00554551">
        <w:rPr>
          <w:rFonts w:ascii="Times New Roman" w:hAnsi="Times New Roman" w:cs="Times New Roman"/>
          <w:sz w:val="20"/>
          <w:lang w:val="en-US"/>
        </w:rPr>
        <w:t xml:space="preserve"> </w:t>
      </w:r>
      <w:r w:rsidR="00554551" w:rsidRPr="00554551">
        <w:rPr>
          <w:rFonts w:ascii="Times New Roman" w:hAnsi="Times New Roman" w:cs="Times New Roman"/>
          <w:sz w:val="20"/>
          <w:lang w:val="en-US"/>
        </w:rPr>
        <w:t>(</w:t>
      </w:r>
      <w:r w:rsidRPr="00554551">
        <w:rPr>
          <w:rFonts w:ascii="Times New Roman" w:hAnsi="Times New Roman" w:cs="Times New Roman"/>
          <w:sz w:val="20"/>
          <w:lang w:val="en-US"/>
        </w:rPr>
        <w:t>1985</w:t>
      </w:r>
      <w:r w:rsidR="00554551" w:rsidRPr="00554551">
        <w:rPr>
          <w:rFonts w:ascii="Times New Roman" w:hAnsi="Times New Roman" w:cs="Times New Roman"/>
          <w:sz w:val="20"/>
          <w:lang w:val="en-US"/>
        </w:rPr>
        <w:t>)</w:t>
      </w:r>
    </w:p>
    <w:p w14:paraId="5EE1B9FE" w14:textId="05B3C9F8" w:rsidR="00724FD6" w:rsidRPr="00724FD6" w:rsidRDefault="00724FD6" w:rsidP="00554551">
      <w:pPr>
        <w:pStyle w:val="Bibliograafia"/>
        <w:jc w:val="both"/>
        <w:rPr>
          <w:rFonts w:ascii="Times New Roman" w:hAnsi="Times New Roman" w:cs="Times New Roman"/>
          <w:sz w:val="20"/>
          <w:lang w:val="en-US"/>
        </w:rPr>
      </w:pPr>
      <w:r w:rsidRPr="004163D5">
        <w:rPr>
          <w:rFonts w:ascii="Times New Roman" w:hAnsi="Times New Roman" w:cs="Times New Roman"/>
          <w:sz w:val="20"/>
          <w:lang w:val="en-US"/>
        </w:rPr>
        <w:t>2</w:t>
      </w:r>
      <w:r w:rsidR="004163D5">
        <w:rPr>
          <w:rFonts w:ascii="Times New Roman" w:hAnsi="Times New Roman" w:cs="Times New Roman"/>
          <w:sz w:val="20"/>
          <w:lang w:val="en-US"/>
        </w:rPr>
        <w:t>4</w:t>
      </w:r>
      <w:r w:rsidRPr="004163D5">
        <w:rPr>
          <w:rFonts w:ascii="Times New Roman" w:hAnsi="Times New Roman" w:cs="Times New Roman"/>
          <w:sz w:val="20"/>
          <w:lang w:val="en-US"/>
        </w:rPr>
        <w:t xml:space="preserve">. </w:t>
      </w:r>
      <w:r w:rsidRPr="00724FD6">
        <w:rPr>
          <w:rFonts w:ascii="Times New Roman" w:hAnsi="Times New Roman" w:cs="Times New Roman"/>
          <w:sz w:val="20"/>
          <w:lang w:val="en-US"/>
        </w:rPr>
        <w:tab/>
      </w:r>
      <w:r w:rsidR="00554551">
        <w:rPr>
          <w:rFonts w:ascii="Times New Roman" w:hAnsi="Times New Roman" w:cs="Times New Roman"/>
          <w:sz w:val="20"/>
          <w:lang w:val="en-US"/>
        </w:rPr>
        <w:t xml:space="preserve">C.A. </w:t>
      </w:r>
      <w:r w:rsidRPr="00554551">
        <w:rPr>
          <w:rFonts w:ascii="Times New Roman" w:hAnsi="Times New Roman" w:cs="Times New Roman"/>
          <w:sz w:val="20"/>
          <w:lang w:val="en-US"/>
        </w:rPr>
        <w:t xml:space="preserve">Swenson, </w:t>
      </w:r>
      <w:r w:rsidR="00554551" w:rsidRPr="00554551">
        <w:rPr>
          <w:rFonts w:ascii="Times New Roman" w:hAnsi="Times New Roman" w:cs="Times New Roman"/>
          <w:sz w:val="20"/>
          <w:lang w:val="en-US"/>
        </w:rPr>
        <w:t xml:space="preserve">J. Chem. Phys., </w:t>
      </w:r>
      <w:r w:rsidR="00554551" w:rsidRPr="00554551">
        <w:rPr>
          <w:rFonts w:ascii="Times New Roman" w:hAnsi="Times New Roman" w:cs="Times New Roman"/>
          <w:b/>
          <w:bCs/>
          <w:sz w:val="20"/>
          <w:lang w:val="en-US"/>
        </w:rPr>
        <w:t>18</w:t>
      </w:r>
      <w:r w:rsidR="00554551" w:rsidRPr="00554551">
        <w:rPr>
          <w:rFonts w:ascii="Times New Roman" w:hAnsi="Times New Roman" w:cs="Times New Roman"/>
          <w:sz w:val="20"/>
          <w:lang w:val="en-US"/>
        </w:rPr>
        <w:t xml:space="preserve"> (</w:t>
      </w:r>
      <w:r w:rsidRPr="00554551">
        <w:rPr>
          <w:rFonts w:ascii="Times New Roman" w:hAnsi="Times New Roman" w:cs="Times New Roman"/>
          <w:sz w:val="20"/>
          <w:lang w:val="en-US"/>
        </w:rPr>
        <w:t>1950</w:t>
      </w:r>
      <w:r w:rsidR="00554551" w:rsidRPr="00554551">
        <w:rPr>
          <w:rFonts w:ascii="Times New Roman" w:hAnsi="Times New Roman" w:cs="Times New Roman"/>
          <w:sz w:val="20"/>
          <w:lang w:val="en-US"/>
        </w:rPr>
        <w:t>)</w:t>
      </w:r>
    </w:p>
    <w:p w14:paraId="39AACFB9" w14:textId="1F37BE57" w:rsidR="00724FD6" w:rsidRPr="00554551" w:rsidRDefault="00724FD6" w:rsidP="00554551">
      <w:pPr>
        <w:pStyle w:val="Bibliograafia"/>
        <w:jc w:val="both"/>
        <w:rPr>
          <w:rFonts w:ascii="Times New Roman" w:hAnsi="Times New Roman" w:cs="Times New Roman"/>
          <w:sz w:val="20"/>
          <w:lang w:val="en-US"/>
        </w:rPr>
      </w:pPr>
      <w:r w:rsidRPr="004163D5">
        <w:rPr>
          <w:rFonts w:ascii="Times New Roman" w:hAnsi="Times New Roman" w:cs="Times New Roman"/>
          <w:sz w:val="20"/>
          <w:lang w:val="en-US"/>
        </w:rPr>
        <w:t>2</w:t>
      </w:r>
      <w:r w:rsidR="004163D5">
        <w:rPr>
          <w:rFonts w:ascii="Times New Roman" w:hAnsi="Times New Roman" w:cs="Times New Roman"/>
          <w:sz w:val="20"/>
          <w:lang w:val="en-US"/>
        </w:rPr>
        <w:t>5</w:t>
      </w:r>
      <w:r w:rsidRPr="004163D5">
        <w:rPr>
          <w:rFonts w:ascii="Times New Roman" w:hAnsi="Times New Roman" w:cs="Times New Roman"/>
          <w:sz w:val="20"/>
          <w:lang w:val="en-US"/>
        </w:rPr>
        <w:t xml:space="preserve">. </w:t>
      </w:r>
      <w:r w:rsidRPr="00724FD6">
        <w:rPr>
          <w:rFonts w:ascii="Times New Roman" w:hAnsi="Times New Roman" w:cs="Times New Roman"/>
          <w:sz w:val="20"/>
          <w:lang w:val="en-US"/>
        </w:rPr>
        <w:tab/>
      </w:r>
      <w:r w:rsidR="00554551">
        <w:rPr>
          <w:rFonts w:ascii="Times New Roman" w:hAnsi="Times New Roman" w:cs="Times New Roman"/>
          <w:sz w:val="20"/>
          <w:lang w:val="en-US"/>
        </w:rPr>
        <w:t xml:space="preserve">M. </w:t>
      </w:r>
      <w:r w:rsidRPr="00724FD6">
        <w:rPr>
          <w:rFonts w:ascii="Times New Roman" w:hAnsi="Times New Roman" w:cs="Times New Roman"/>
          <w:sz w:val="20"/>
          <w:lang w:val="en-US"/>
        </w:rPr>
        <w:t xml:space="preserve">Koppel, </w:t>
      </w:r>
      <w:r w:rsidR="00554551">
        <w:rPr>
          <w:rFonts w:ascii="Times New Roman" w:hAnsi="Times New Roman" w:cs="Times New Roman"/>
          <w:sz w:val="20"/>
          <w:lang w:val="en-US"/>
        </w:rPr>
        <w:t>R.</w:t>
      </w:r>
      <w:r w:rsidRPr="00724FD6">
        <w:rPr>
          <w:rFonts w:ascii="Times New Roman" w:hAnsi="Times New Roman" w:cs="Times New Roman"/>
          <w:sz w:val="20"/>
          <w:lang w:val="en-US"/>
        </w:rPr>
        <w:t xml:space="preserve"> Palm, </w:t>
      </w:r>
      <w:r w:rsidR="00554551">
        <w:rPr>
          <w:rFonts w:ascii="Times New Roman" w:hAnsi="Times New Roman" w:cs="Times New Roman"/>
          <w:sz w:val="20"/>
          <w:lang w:val="en-US"/>
        </w:rPr>
        <w:t>R.</w:t>
      </w:r>
      <w:r w:rsidRPr="00724FD6">
        <w:rPr>
          <w:rFonts w:ascii="Times New Roman" w:hAnsi="Times New Roman" w:cs="Times New Roman"/>
          <w:sz w:val="20"/>
          <w:lang w:val="en-US"/>
        </w:rPr>
        <w:t xml:space="preserve"> Härmas, </w:t>
      </w:r>
      <w:r w:rsidR="00554551">
        <w:rPr>
          <w:rFonts w:ascii="Times New Roman" w:hAnsi="Times New Roman" w:cs="Times New Roman"/>
          <w:sz w:val="20"/>
          <w:lang w:val="en-US"/>
        </w:rPr>
        <w:t>M.</w:t>
      </w:r>
      <w:r w:rsidRPr="00724FD6">
        <w:rPr>
          <w:rFonts w:ascii="Times New Roman" w:hAnsi="Times New Roman" w:cs="Times New Roman"/>
          <w:sz w:val="20"/>
          <w:lang w:val="en-US"/>
        </w:rPr>
        <w:t xml:space="preserve"> Russina,</w:t>
      </w:r>
      <w:r w:rsidR="00554551">
        <w:rPr>
          <w:rFonts w:ascii="Times New Roman" w:hAnsi="Times New Roman" w:cs="Times New Roman"/>
          <w:sz w:val="20"/>
          <w:lang w:val="en-US"/>
        </w:rPr>
        <w:t xml:space="preserve"> V.</w:t>
      </w:r>
      <w:r w:rsidRPr="00724FD6">
        <w:rPr>
          <w:rFonts w:ascii="Times New Roman" w:hAnsi="Times New Roman" w:cs="Times New Roman"/>
          <w:sz w:val="20"/>
          <w:lang w:val="en-US"/>
        </w:rPr>
        <w:t xml:space="preserve"> Grzimek, </w:t>
      </w:r>
      <w:r w:rsidR="00554551">
        <w:rPr>
          <w:rFonts w:ascii="Times New Roman" w:hAnsi="Times New Roman" w:cs="Times New Roman"/>
          <w:sz w:val="20"/>
          <w:lang w:val="en-US"/>
        </w:rPr>
        <w:t>J.</w:t>
      </w:r>
      <w:r w:rsidRPr="00724FD6">
        <w:rPr>
          <w:rFonts w:ascii="Times New Roman" w:hAnsi="Times New Roman" w:cs="Times New Roman"/>
          <w:sz w:val="20"/>
          <w:lang w:val="en-US"/>
        </w:rPr>
        <w:t xml:space="preserve"> Jagiello, </w:t>
      </w:r>
      <w:r w:rsidR="00554551">
        <w:rPr>
          <w:rFonts w:ascii="Times New Roman" w:hAnsi="Times New Roman" w:cs="Times New Roman"/>
          <w:sz w:val="20"/>
          <w:lang w:val="en-US"/>
        </w:rPr>
        <w:t>M.</w:t>
      </w:r>
      <w:r w:rsidRPr="00724FD6">
        <w:rPr>
          <w:rFonts w:ascii="Times New Roman" w:hAnsi="Times New Roman" w:cs="Times New Roman"/>
          <w:sz w:val="20"/>
          <w:lang w:val="en-US"/>
        </w:rPr>
        <w:t xml:space="preserve"> Paalo, </w:t>
      </w:r>
      <w:r w:rsidR="00554551">
        <w:rPr>
          <w:rFonts w:ascii="Times New Roman" w:hAnsi="Times New Roman" w:cs="Times New Roman"/>
          <w:sz w:val="20"/>
          <w:lang w:val="en-US"/>
        </w:rPr>
        <w:t>H.</w:t>
      </w:r>
      <w:r w:rsidRPr="00724FD6">
        <w:rPr>
          <w:rFonts w:ascii="Times New Roman" w:hAnsi="Times New Roman" w:cs="Times New Roman"/>
          <w:sz w:val="20"/>
          <w:lang w:val="en-US"/>
        </w:rPr>
        <w:t xml:space="preserve"> Kurig, </w:t>
      </w:r>
      <w:r w:rsidR="00554551">
        <w:rPr>
          <w:rFonts w:ascii="Times New Roman" w:hAnsi="Times New Roman" w:cs="Times New Roman"/>
          <w:sz w:val="20"/>
          <w:lang w:val="en-US"/>
        </w:rPr>
        <w:t xml:space="preserve">M. </w:t>
      </w:r>
      <w:r w:rsidRPr="00554551">
        <w:rPr>
          <w:rFonts w:ascii="Times New Roman" w:hAnsi="Times New Roman" w:cs="Times New Roman"/>
          <w:sz w:val="20"/>
          <w:lang w:val="en-US"/>
        </w:rPr>
        <w:t xml:space="preserve">Månsson, </w:t>
      </w:r>
      <w:r w:rsidR="00554551" w:rsidRPr="00554551">
        <w:rPr>
          <w:rFonts w:ascii="Times New Roman" w:hAnsi="Times New Roman" w:cs="Times New Roman"/>
          <w:sz w:val="20"/>
          <w:lang w:val="en-US"/>
        </w:rPr>
        <w:t>O.</w:t>
      </w:r>
      <w:r w:rsidRPr="00554551">
        <w:rPr>
          <w:rFonts w:ascii="Times New Roman" w:hAnsi="Times New Roman" w:cs="Times New Roman"/>
          <w:sz w:val="20"/>
          <w:lang w:val="en-US"/>
        </w:rPr>
        <w:t xml:space="preserve"> Oll</w:t>
      </w:r>
      <w:r w:rsidR="00554551" w:rsidRPr="00554551">
        <w:rPr>
          <w:rFonts w:ascii="Times New Roman" w:hAnsi="Times New Roman" w:cs="Times New Roman"/>
          <w:sz w:val="20"/>
          <w:lang w:val="en-US"/>
        </w:rPr>
        <w:t xml:space="preserve"> </w:t>
      </w:r>
      <w:r w:rsidRPr="00554551">
        <w:rPr>
          <w:rFonts w:ascii="Times New Roman" w:hAnsi="Times New Roman" w:cs="Times New Roman"/>
          <w:sz w:val="20"/>
          <w:lang w:val="en-US"/>
        </w:rPr>
        <w:t>et al.</w:t>
      </w:r>
      <w:r w:rsidR="00554551" w:rsidRPr="00554551">
        <w:rPr>
          <w:rFonts w:ascii="Times New Roman" w:hAnsi="Times New Roman" w:cs="Times New Roman"/>
          <w:sz w:val="20"/>
          <w:lang w:val="en-US"/>
        </w:rPr>
        <w:t xml:space="preserve">, </w:t>
      </w:r>
      <w:r w:rsidRPr="00652925">
        <w:rPr>
          <w:rFonts w:ascii="Times New Roman" w:hAnsi="Times New Roman" w:cs="Times New Roman"/>
          <w:sz w:val="20"/>
          <w:lang w:val="en-US"/>
        </w:rPr>
        <w:t>Carbon</w:t>
      </w:r>
      <w:r w:rsidR="00554551" w:rsidRPr="00652925">
        <w:rPr>
          <w:rFonts w:ascii="Times New Roman" w:hAnsi="Times New Roman" w:cs="Times New Roman"/>
          <w:sz w:val="20"/>
          <w:lang w:val="en-US"/>
        </w:rPr>
        <w:t xml:space="preserve">, </w:t>
      </w:r>
      <w:r w:rsidR="00554551" w:rsidRPr="00652925">
        <w:rPr>
          <w:rFonts w:ascii="Times New Roman" w:hAnsi="Times New Roman" w:cs="Times New Roman"/>
          <w:b/>
          <w:bCs/>
          <w:sz w:val="20"/>
          <w:lang w:val="en-US"/>
        </w:rPr>
        <w:t>197</w:t>
      </w:r>
      <w:r w:rsidRPr="00652925">
        <w:rPr>
          <w:rFonts w:ascii="Times New Roman" w:hAnsi="Times New Roman" w:cs="Times New Roman"/>
          <w:sz w:val="20"/>
          <w:lang w:val="en-US"/>
        </w:rPr>
        <w:t xml:space="preserve"> </w:t>
      </w:r>
      <w:r w:rsidR="00554551" w:rsidRPr="00652925">
        <w:rPr>
          <w:rFonts w:ascii="Times New Roman" w:hAnsi="Times New Roman" w:cs="Times New Roman"/>
          <w:sz w:val="20"/>
          <w:lang w:val="en-US"/>
        </w:rPr>
        <w:t>(</w:t>
      </w:r>
      <w:r w:rsidRPr="00652925">
        <w:rPr>
          <w:rFonts w:ascii="Times New Roman" w:hAnsi="Times New Roman" w:cs="Times New Roman"/>
          <w:sz w:val="20"/>
          <w:lang w:val="en-US"/>
        </w:rPr>
        <w:t>2022</w:t>
      </w:r>
      <w:r w:rsidR="00554551" w:rsidRPr="00652925">
        <w:rPr>
          <w:rFonts w:ascii="Times New Roman" w:hAnsi="Times New Roman" w:cs="Times New Roman"/>
          <w:sz w:val="20"/>
          <w:lang w:val="en-US"/>
        </w:rPr>
        <w:t>)</w:t>
      </w:r>
    </w:p>
    <w:p w14:paraId="66712CF8" w14:textId="0AF9F735" w:rsidR="00115A48" w:rsidRPr="004B6911" w:rsidRDefault="00115A48" w:rsidP="00D537C7">
      <w:pPr>
        <w:pStyle w:val="Bibliograafia"/>
        <w:rPr>
          <w:lang w:val="en-US"/>
        </w:rPr>
      </w:pPr>
    </w:p>
    <w:sectPr w:rsidR="00115A48" w:rsidRPr="004B6911" w:rsidSect="00036AC2">
      <w:footnotePr>
        <w:numFmt w:val="chicago"/>
      </w:footnotePr>
      <w:type w:val="continuous"/>
      <w:pgSz w:w="11907" w:h="16839" w:code="9"/>
      <w:pgMar w:top="1361" w:right="1134" w:bottom="907" w:left="1134" w:header="567" w:footer="567"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2E91" w14:textId="77777777" w:rsidR="00CF137D" w:rsidRDefault="00CF137D">
      <w:r>
        <w:separator/>
      </w:r>
    </w:p>
  </w:endnote>
  <w:endnote w:type="continuationSeparator" w:id="0">
    <w:p w14:paraId="245A2069" w14:textId="77777777" w:rsidR="00CF137D" w:rsidRDefault="00CF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5050" w14:textId="77777777"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20CF6" w14:textId="77777777" w:rsidR="00CF137D" w:rsidRDefault="00CF137D">
      <w:r>
        <w:separator/>
      </w:r>
    </w:p>
  </w:footnote>
  <w:footnote w:type="continuationSeparator" w:id="0">
    <w:p w14:paraId="22EDCD29" w14:textId="77777777" w:rsidR="00CF137D" w:rsidRDefault="00CF137D">
      <w:r>
        <w:continuationSeparator/>
      </w:r>
    </w:p>
  </w:footnote>
  <w:footnote w:id="1">
    <w:p w14:paraId="6CE07945" w14:textId="26B52CF1" w:rsidR="00EC26D0" w:rsidRPr="00EC26D0" w:rsidRDefault="00F05EBE" w:rsidP="00F05EBE">
      <w:pPr>
        <w:pStyle w:val="Allmrkusetekst"/>
        <w:rPr>
          <w:rFonts w:ascii="Times New Roman" w:hAnsi="Times New Roman"/>
          <w:position w:val="1"/>
          <w:sz w:val="18"/>
          <w:lang w:val="en-US"/>
        </w:rPr>
      </w:pPr>
      <w:r w:rsidRPr="00743B2C">
        <w:rPr>
          <w:rStyle w:val="FootnoteCharacters"/>
        </w:rPr>
        <w:footnoteRef/>
      </w:r>
      <w:r w:rsidRPr="00FD4340">
        <w:rPr>
          <w:rStyle w:val="FootnoteCharacters"/>
          <w:lang w:val="en-US"/>
        </w:rPr>
        <w:t xml:space="preserve"> Corresponding author:</w:t>
      </w:r>
      <w:r w:rsidR="00EC26D0">
        <w:rPr>
          <w:rStyle w:val="FootnoteCharacters"/>
          <w:lang w:val="en-US"/>
        </w:rPr>
        <w:t xml:space="preserve"> riinu.harmas@ut.ee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B5CA7376"/>
    <w:lvl w:ilvl="0">
      <w:start w:val="1"/>
      <w:numFmt w:val="decimal"/>
      <w:pStyle w:val="ReferencesBody"/>
      <w:lvlText w:val="%1."/>
      <w:lvlJc w:val="left"/>
      <w:pPr>
        <w:ind w:left="360" w:hanging="360"/>
      </w:pPr>
      <w:rPr>
        <w:rFonts w:hint="default"/>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F21BA"/>
    <w:multiLevelType w:val="multilevel"/>
    <w:tmpl w:val="D77AE1E6"/>
    <w:lvl w:ilvl="0">
      <w:start w:val="1"/>
      <w:numFmt w:val="decimal"/>
      <w:pStyle w:val="Section"/>
      <w:suff w:val="space"/>
      <w:lvlText w:val="%1"/>
      <w:lvlJc w:val="left"/>
      <w:pPr>
        <w:ind w:left="0" w:firstLine="0"/>
      </w:pPr>
      <w:rPr>
        <w:rFonts w:ascii="Arial" w:hAnsi="Arial" w:hint="default"/>
        <w:b/>
        <w:i w:val="0"/>
        <w:sz w:val="24"/>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15:restartNumberingAfterBreak="0">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4055539">
    <w:abstractNumId w:val="0"/>
  </w:num>
  <w:num w:numId="2" w16cid:durableId="2026638341">
    <w:abstractNumId w:val="1"/>
  </w:num>
  <w:num w:numId="3" w16cid:durableId="187111570">
    <w:abstractNumId w:val="4"/>
  </w:num>
  <w:num w:numId="4" w16cid:durableId="804158959">
    <w:abstractNumId w:val="2"/>
  </w:num>
  <w:num w:numId="5" w16cid:durableId="589974801">
    <w:abstractNumId w:val="5"/>
  </w:num>
  <w:num w:numId="6" w16cid:durableId="4367559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69445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9532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wM7c0NzAyNTS3NDNS0lEKTi0uzszPAykwrgUAjqrQASwAAAA="/>
  </w:docVars>
  <w:rsids>
    <w:rsidRoot w:val="00AA185D"/>
    <w:rsid w:val="00004CBF"/>
    <w:rsid w:val="00014760"/>
    <w:rsid w:val="00015C3B"/>
    <w:rsid w:val="00026FFC"/>
    <w:rsid w:val="000342D7"/>
    <w:rsid w:val="00036AC2"/>
    <w:rsid w:val="00043999"/>
    <w:rsid w:val="00044B12"/>
    <w:rsid w:val="000535FC"/>
    <w:rsid w:val="0006121B"/>
    <w:rsid w:val="00065B3C"/>
    <w:rsid w:val="00066703"/>
    <w:rsid w:val="0007598A"/>
    <w:rsid w:val="00081F7A"/>
    <w:rsid w:val="00084415"/>
    <w:rsid w:val="000851E0"/>
    <w:rsid w:val="000947F8"/>
    <w:rsid w:val="00096683"/>
    <w:rsid w:val="000972D6"/>
    <w:rsid w:val="000A0FAB"/>
    <w:rsid w:val="000A1563"/>
    <w:rsid w:val="000B3E9C"/>
    <w:rsid w:val="000C03E7"/>
    <w:rsid w:val="000C650F"/>
    <w:rsid w:val="000D03C7"/>
    <w:rsid w:val="000D5D33"/>
    <w:rsid w:val="000E4989"/>
    <w:rsid w:val="000F4BC6"/>
    <w:rsid w:val="00107CF2"/>
    <w:rsid w:val="00115A48"/>
    <w:rsid w:val="001229EE"/>
    <w:rsid w:val="001230BA"/>
    <w:rsid w:val="0012646D"/>
    <w:rsid w:val="0013035C"/>
    <w:rsid w:val="00130A46"/>
    <w:rsid w:val="001340B5"/>
    <w:rsid w:val="0014348C"/>
    <w:rsid w:val="0014450B"/>
    <w:rsid w:val="00144AE8"/>
    <w:rsid w:val="00154AE8"/>
    <w:rsid w:val="00161411"/>
    <w:rsid w:val="00161B60"/>
    <w:rsid w:val="001629AC"/>
    <w:rsid w:val="00165517"/>
    <w:rsid w:val="00166C77"/>
    <w:rsid w:val="00180674"/>
    <w:rsid w:val="001831C7"/>
    <w:rsid w:val="001910F3"/>
    <w:rsid w:val="0019318D"/>
    <w:rsid w:val="00193CBA"/>
    <w:rsid w:val="001950C8"/>
    <w:rsid w:val="001A6897"/>
    <w:rsid w:val="001B25B9"/>
    <w:rsid w:val="001B64ED"/>
    <w:rsid w:val="001B71A4"/>
    <w:rsid w:val="001C16CD"/>
    <w:rsid w:val="001C4A50"/>
    <w:rsid w:val="001D38E4"/>
    <w:rsid w:val="001D3F07"/>
    <w:rsid w:val="001D4129"/>
    <w:rsid w:val="001D6356"/>
    <w:rsid w:val="001D7D41"/>
    <w:rsid w:val="001F1E8B"/>
    <w:rsid w:val="001F29ED"/>
    <w:rsid w:val="001F3D65"/>
    <w:rsid w:val="00205ADD"/>
    <w:rsid w:val="00206122"/>
    <w:rsid w:val="00207DA4"/>
    <w:rsid w:val="002121FE"/>
    <w:rsid w:val="00214740"/>
    <w:rsid w:val="002212E7"/>
    <w:rsid w:val="002212EB"/>
    <w:rsid w:val="00226748"/>
    <w:rsid w:val="00226AB3"/>
    <w:rsid w:val="00231CAD"/>
    <w:rsid w:val="0025497C"/>
    <w:rsid w:val="00255C10"/>
    <w:rsid w:val="00256A72"/>
    <w:rsid w:val="00260B0A"/>
    <w:rsid w:val="00265E7E"/>
    <w:rsid w:val="00276AFC"/>
    <w:rsid w:val="002858A9"/>
    <w:rsid w:val="0029155F"/>
    <w:rsid w:val="00291934"/>
    <w:rsid w:val="00293881"/>
    <w:rsid w:val="00293B7C"/>
    <w:rsid w:val="002A0DEB"/>
    <w:rsid w:val="002A50BB"/>
    <w:rsid w:val="002B0996"/>
    <w:rsid w:val="002B5EE3"/>
    <w:rsid w:val="002C1F8B"/>
    <w:rsid w:val="002C3C17"/>
    <w:rsid w:val="002D384B"/>
    <w:rsid w:val="002D7B87"/>
    <w:rsid w:val="002F20E4"/>
    <w:rsid w:val="002F3A7D"/>
    <w:rsid w:val="002F5860"/>
    <w:rsid w:val="002F72DD"/>
    <w:rsid w:val="0031223A"/>
    <w:rsid w:val="0031787A"/>
    <w:rsid w:val="0033278B"/>
    <w:rsid w:val="00334AAD"/>
    <w:rsid w:val="00335E44"/>
    <w:rsid w:val="00346E89"/>
    <w:rsid w:val="00347AED"/>
    <w:rsid w:val="00356A8B"/>
    <w:rsid w:val="00362E10"/>
    <w:rsid w:val="00382D8E"/>
    <w:rsid w:val="0038735C"/>
    <w:rsid w:val="00390532"/>
    <w:rsid w:val="003975FB"/>
    <w:rsid w:val="003A3979"/>
    <w:rsid w:val="003A42CB"/>
    <w:rsid w:val="003A5919"/>
    <w:rsid w:val="003A6777"/>
    <w:rsid w:val="003B6C62"/>
    <w:rsid w:val="003C2145"/>
    <w:rsid w:val="003C270B"/>
    <w:rsid w:val="003C40D4"/>
    <w:rsid w:val="003D4AE7"/>
    <w:rsid w:val="003E06B2"/>
    <w:rsid w:val="003E65E7"/>
    <w:rsid w:val="003E7307"/>
    <w:rsid w:val="003F2122"/>
    <w:rsid w:val="0040171C"/>
    <w:rsid w:val="004103A6"/>
    <w:rsid w:val="00411726"/>
    <w:rsid w:val="0041424C"/>
    <w:rsid w:val="004163D5"/>
    <w:rsid w:val="00420011"/>
    <w:rsid w:val="00421917"/>
    <w:rsid w:val="00424718"/>
    <w:rsid w:val="004316AC"/>
    <w:rsid w:val="00444427"/>
    <w:rsid w:val="0045083C"/>
    <w:rsid w:val="004568DC"/>
    <w:rsid w:val="0046665C"/>
    <w:rsid w:val="004836F5"/>
    <w:rsid w:val="00483F49"/>
    <w:rsid w:val="004841D1"/>
    <w:rsid w:val="004A52D1"/>
    <w:rsid w:val="004B5BAC"/>
    <w:rsid w:val="004B6911"/>
    <w:rsid w:val="004C37C3"/>
    <w:rsid w:val="004C62FB"/>
    <w:rsid w:val="004D1388"/>
    <w:rsid w:val="004E0287"/>
    <w:rsid w:val="004E2295"/>
    <w:rsid w:val="004E474F"/>
    <w:rsid w:val="004F5CA3"/>
    <w:rsid w:val="00501A61"/>
    <w:rsid w:val="00502085"/>
    <w:rsid w:val="005054FC"/>
    <w:rsid w:val="00505AFF"/>
    <w:rsid w:val="00505F2F"/>
    <w:rsid w:val="00510393"/>
    <w:rsid w:val="005149E5"/>
    <w:rsid w:val="00516797"/>
    <w:rsid w:val="0051694C"/>
    <w:rsid w:val="00524C4B"/>
    <w:rsid w:val="00524DC1"/>
    <w:rsid w:val="005259BD"/>
    <w:rsid w:val="00526AC6"/>
    <w:rsid w:val="00526F18"/>
    <w:rsid w:val="0052735B"/>
    <w:rsid w:val="00530AF2"/>
    <w:rsid w:val="00533F04"/>
    <w:rsid w:val="00537E89"/>
    <w:rsid w:val="00554551"/>
    <w:rsid w:val="005559D8"/>
    <w:rsid w:val="00562A2D"/>
    <w:rsid w:val="00562AE0"/>
    <w:rsid w:val="005729C2"/>
    <w:rsid w:val="00573C01"/>
    <w:rsid w:val="00576288"/>
    <w:rsid w:val="00577FD2"/>
    <w:rsid w:val="005809D6"/>
    <w:rsid w:val="00582028"/>
    <w:rsid w:val="00584190"/>
    <w:rsid w:val="005850CC"/>
    <w:rsid w:val="00586096"/>
    <w:rsid w:val="00586EEE"/>
    <w:rsid w:val="005921D2"/>
    <w:rsid w:val="005A105D"/>
    <w:rsid w:val="005A1AA6"/>
    <w:rsid w:val="005B19EA"/>
    <w:rsid w:val="005B3EBD"/>
    <w:rsid w:val="005B637D"/>
    <w:rsid w:val="005B73CB"/>
    <w:rsid w:val="005C62E6"/>
    <w:rsid w:val="005D08F0"/>
    <w:rsid w:val="005D7655"/>
    <w:rsid w:val="005E6A65"/>
    <w:rsid w:val="005F4BD5"/>
    <w:rsid w:val="00600F80"/>
    <w:rsid w:val="00601A2F"/>
    <w:rsid w:val="0060390D"/>
    <w:rsid w:val="00634E0B"/>
    <w:rsid w:val="006410FA"/>
    <w:rsid w:val="00641BA5"/>
    <w:rsid w:val="00652925"/>
    <w:rsid w:val="00655D5B"/>
    <w:rsid w:val="00662E8B"/>
    <w:rsid w:val="00665466"/>
    <w:rsid w:val="00671B0F"/>
    <w:rsid w:val="00672948"/>
    <w:rsid w:val="00680209"/>
    <w:rsid w:val="00680716"/>
    <w:rsid w:val="00693862"/>
    <w:rsid w:val="00694711"/>
    <w:rsid w:val="006A40BD"/>
    <w:rsid w:val="006A5A4E"/>
    <w:rsid w:val="006B327F"/>
    <w:rsid w:val="006B4BF8"/>
    <w:rsid w:val="006B7025"/>
    <w:rsid w:val="006C3C3C"/>
    <w:rsid w:val="006C5BF4"/>
    <w:rsid w:val="006E3D11"/>
    <w:rsid w:val="006E4E52"/>
    <w:rsid w:val="006F413D"/>
    <w:rsid w:val="00705FC3"/>
    <w:rsid w:val="00724D51"/>
    <w:rsid w:val="00724FD6"/>
    <w:rsid w:val="00726CE4"/>
    <w:rsid w:val="00733B64"/>
    <w:rsid w:val="007345B4"/>
    <w:rsid w:val="0073585E"/>
    <w:rsid w:val="00743B2C"/>
    <w:rsid w:val="007468C5"/>
    <w:rsid w:val="00755D80"/>
    <w:rsid w:val="007566F1"/>
    <w:rsid w:val="00757AC0"/>
    <w:rsid w:val="00761527"/>
    <w:rsid w:val="00762CF1"/>
    <w:rsid w:val="00765B30"/>
    <w:rsid w:val="007719FE"/>
    <w:rsid w:val="007851E6"/>
    <w:rsid w:val="007877C1"/>
    <w:rsid w:val="00794C69"/>
    <w:rsid w:val="007A0540"/>
    <w:rsid w:val="007A6576"/>
    <w:rsid w:val="007B0BA3"/>
    <w:rsid w:val="007B479D"/>
    <w:rsid w:val="007C61A2"/>
    <w:rsid w:val="007D0C5B"/>
    <w:rsid w:val="007D4CBC"/>
    <w:rsid w:val="007F172A"/>
    <w:rsid w:val="007F33D8"/>
    <w:rsid w:val="00800E46"/>
    <w:rsid w:val="008039EA"/>
    <w:rsid w:val="00805686"/>
    <w:rsid w:val="00807943"/>
    <w:rsid w:val="0082470E"/>
    <w:rsid w:val="00824A3B"/>
    <w:rsid w:val="00826219"/>
    <w:rsid w:val="00826250"/>
    <w:rsid w:val="00831000"/>
    <w:rsid w:val="0083466D"/>
    <w:rsid w:val="0083597A"/>
    <w:rsid w:val="00835E00"/>
    <w:rsid w:val="0083693D"/>
    <w:rsid w:val="00836D0B"/>
    <w:rsid w:val="0085246D"/>
    <w:rsid w:val="00854479"/>
    <w:rsid w:val="00855148"/>
    <w:rsid w:val="008603CB"/>
    <w:rsid w:val="00860B51"/>
    <w:rsid w:val="00874380"/>
    <w:rsid w:val="00884C68"/>
    <w:rsid w:val="00884F2D"/>
    <w:rsid w:val="00892772"/>
    <w:rsid w:val="008A07E0"/>
    <w:rsid w:val="008A1357"/>
    <w:rsid w:val="008B09DD"/>
    <w:rsid w:val="008B39BC"/>
    <w:rsid w:val="008C03E4"/>
    <w:rsid w:val="008D0D63"/>
    <w:rsid w:val="008D1EDC"/>
    <w:rsid w:val="008D5F89"/>
    <w:rsid w:val="008E3E16"/>
    <w:rsid w:val="008E5AE4"/>
    <w:rsid w:val="008F1EBA"/>
    <w:rsid w:val="008F333E"/>
    <w:rsid w:val="008F44DB"/>
    <w:rsid w:val="00907BE6"/>
    <w:rsid w:val="00914C5C"/>
    <w:rsid w:val="009150F4"/>
    <w:rsid w:val="009167B7"/>
    <w:rsid w:val="00937B86"/>
    <w:rsid w:val="00940E7D"/>
    <w:rsid w:val="00941802"/>
    <w:rsid w:val="00946CA1"/>
    <w:rsid w:val="00950F3D"/>
    <w:rsid w:val="00957228"/>
    <w:rsid w:val="00961111"/>
    <w:rsid w:val="009720FE"/>
    <w:rsid w:val="00984EE6"/>
    <w:rsid w:val="009A0BC6"/>
    <w:rsid w:val="009C0DF7"/>
    <w:rsid w:val="009C3AF2"/>
    <w:rsid w:val="009C6152"/>
    <w:rsid w:val="009D1BE9"/>
    <w:rsid w:val="009D5F11"/>
    <w:rsid w:val="009E1402"/>
    <w:rsid w:val="009E2777"/>
    <w:rsid w:val="009E40B3"/>
    <w:rsid w:val="009F01B1"/>
    <w:rsid w:val="009F3BDF"/>
    <w:rsid w:val="009F5DA9"/>
    <w:rsid w:val="009F6416"/>
    <w:rsid w:val="00A054E0"/>
    <w:rsid w:val="00A2670B"/>
    <w:rsid w:val="00A30038"/>
    <w:rsid w:val="00A30EC2"/>
    <w:rsid w:val="00A33C7E"/>
    <w:rsid w:val="00A356E6"/>
    <w:rsid w:val="00A45EEA"/>
    <w:rsid w:val="00A473A5"/>
    <w:rsid w:val="00A52DEB"/>
    <w:rsid w:val="00A568E8"/>
    <w:rsid w:val="00A66FA6"/>
    <w:rsid w:val="00A72272"/>
    <w:rsid w:val="00A72502"/>
    <w:rsid w:val="00A728AF"/>
    <w:rsid w:val="00A74233"/>
    <w:rsid w:val="00A865F6"/>
    <w:rsid w:val="00A95C9B"/>
    <w:rsid w:val="00AA185D"/>
    <w:rsid w:val="00AA1B18"/>
    <w:rsid w:val="00AA1ED2"/>
    <w:rsid w:val="00AA2001"/>
    <w:rsid w:val="00AA4651"/>
    <w:rsid w:val="00AA47C2"/>
    <w:rsid w:val="00AA516F"/>
    <w:rsid w:val="00AA70A4"/>
    <w:rsid w:val="00AB1D0F"/>
    <w:rsid w:val="00AB512B"/>
    <w:rsid w:val="00AC6424"/>
    <w:rsid w:val="00AD183E"/>
    <w:rsid w:val="00AD4414"/>
    <w:rsid w:val="00AE62D8"/>
    <w:rsid w:val="00AF2313"/>
    <w:rsid w:val="00B005F7"/>
    <w:rsid w:val="00B036D9"/>
    <w:rsid w:val="00B07F1B"/>
    <w:rsid w:val="00B15EA5"/>
    <w:rsid w:val="00B219AF"/>
    <w:rsid w:val="00B25D6B"/>
    <w:rsid w:val="00B30F8B"/>
    <w:rsid w:val="00B31190"/>
    <w:rsid w:val="00B40C30"/>
    <w:rsid w:val="00B43832"/>
    <w:rsid w:val="00B46F9A"/>
    <w:rsid w:val="00B54655"/>
    <w:rsid w:val="00B55728"/>
    <w:rsid w:val="00B603A0"/>
    <w:rsid w:val="00B62D72"/>
    <w:rsid w:val="00B631A9"/>
    <w:rsid w:val="00B720FE"/>
    <w:rsid w:val="00B80F85"/>
    <w:rsid w:val="00B97A3A"/>
    <w:rsid w:val="00BA17D3"/>
    <w:rsid w:val="00BA5704"/>
    <w:rsid w:val="00BB3C8C"/>
    <w:rsid w:val="00BC7817"/>
    <w:rsid w:val="00BE1A65"/>
    <w:rsid w:val="00BE65F6"/>
    <w:rsid w:val="00BF5516"/>
    <w:rsid w:val="00BF6D28"/>
    <w:rsid w:val="00BF7511"/>
    <w:rsid w:val="00C0419F"/>
    <w:rsid w:val="00C0766F"/>
    <w:rsid w:val="00C16E56"/>
    <w:rsid w:val="00C27C2E"/>
    <w:rsid w:val="00C35609"/>
    <w:rsid w:val="00C40A52"/>
    <w:rsid w:val="00C52A06"/>
    <w:rsid w:val="00C560F8"/>
    <w:rsid w:val="00C56149"/>
    <w:rsid w:val="00C643B2"/>
    <w:rsid w:val="00C7146E"/>
    <w:rsid w:val="00C7190F"/>
    <w:rsid w:val="00C71D92"/>
    <w:rsid w:val="00C83DD6"/>
    <w:rsid w:val="00C8534A"/>
    <w:rsid w:val="00CA0BDB"/>
    <w:rsid w:val="00CA4E68"/>
    <w:rsid w:val="00CB5C8D"/>
    <w:rsid w:val="00CD4590"/>
    <w:rsid w:val="00CE13F9"/>
    <w:rsid w:val="00CF137D"/>
    <w:rsid w:val="00CF21DE"/>
    <w:rsid w:val="00CF21F0"/>
    <w:rsid w:val="00CF30AF"/>
    <w:rsid w:val="00D21A82"/>
    <w:rsid w:val="00D24DBC"/>
    <w:rsid w:val="00D2664E"/>
    <w:rsid w:val="00D35C64"/>
    <w:rsid w:val="00D40341"/>
    <w:rsid w:val="00D40FAD"/>
    <w:rsid w:val="00D52043"/>
    <w:rsid w:val="00D537C7"/>
    <w:rsid w:val="00D54FA6"/>
    <w:rsid w:val="00D55A32"/>
    <w:rsid w:val="00D61394"/>
    <w:rsid w:val="00D660F7"/>
    <w:rsid w:val="00D7733A"/>
    <w:rsid w:val="00D7756C"/>
    <w:rsid w:val="00D810A6"/>
    <w:rsid w:val="00D8121F"/>
    <w:rsid w:val="00D84E8C"/>
    <w:rsid w:val="00D918FF"/>
    <w:rsid w:val="00D93645"/>
    <w:rsid w:val="00D93BFC"/>
    <w:rsid w:val="00DA0753"/>
    <w:rsid w:val="00DA7C0B"/>
    <w:rsid w:val="00DB26F8"/>
    <w:rsid w:val="00DB3B4E"/>
    <w:rsid w:val="00DB4DA9"/>
    <w:rsid w:val="00DB5D7A"/>
    <w:rsid w:val="00DC186C"/>
    <w:rsid w:val="00DE24EA"/>
    <w:rsid w:val="00DE60A7"/>
    <w:rsid w:val="00DE6C67"/>
    <w:rsid w:val="00DF69E4"/>
    <w:rsid w:val="00DF7C92"/>
    <w:rsid w:val="00E1003A"/>
    <w:rsid w:val="00E11D7B"/>
    <w:rsid w:val="00E14396"/>
    <w:rsid w:val="00E21346"/>
    <w:rsid w:val="00E31222"/>
    <w:rsid w:val="00E40E2C"/>
    <w:rsid w:val="00E4447B"/>
    <w:rsid w:val="00E5712F"/>
    <w:rsid w:val="00E64BAF"/>
    <w:rsid w:val="00E72D69"/>
    <w:rsid w:val="00E765B0"/>
    <w:rsid w:val="00E82CFA"/>
    <w:rsid w:val="00E944FF"/>
    <w:rsid w:val="00EA0063"/>
    <w:rsid w:val="00EA65AA"/>
    <w:rsid w:val="00EB2716"/>
    <w:rsid w:val="00EB5AA0"/>
    <w:rsid w:val="00EC26D0"/>
    <w:rsid w:val="00ED07C1"/>
    <w:rsid w:val="00ED47CD"/>
    <w:rsid w:val="00ED7F82"/>
    <w:rsid w:val="00EE4379"/>
    <w:rsid w:val="00EF2A93"/>
    <w:rsid w:val="00F01A35"/>
    <w:rsid w:val="00F0587E"/>
    <w:rsid w:val="00F05EBE"/>
    <w:rsid w:val="00F0715B"/>
    <w:rsid w:val="00F15014"/>
    <w:rsid w:val="00F20B62"/>
    <w:rsid w:val="00F213B6"/>
    <w:rsid w:val="00F37600"/>
    <w:rsid w:val="00F6496A"/>
    <w:rsid w:val="00F7426B"/>
    <w:rsid w:val="00FA141B"/>
    <w:rsid w:val="00FA2043"/>
    <w:rsid w:val="00FB4A98"/>
    <w:rsid w:val="00FB65AF"/>
    <w:rsid w:val="00FC0264"/>
    <w:rsid w:val="00FC40C2"/>
    <w:rsid w:val="00FD4340"/>
    <w:rsid w:val="00FD490C"/>
    <w:rsid w:val="00FD5A7C"/>
    <w:rsid w:val="00FF0627"/>
    <w:rsid w:val="00FF5836"/>
    <w:rsid w:val="00FF59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37D20"/>
  <w15:chartTrackingRefBased/>
  <w15:docId w15:val="{AA9FCA50-FEC2-439D-B0D3-DE94A745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lsdException w:name="Title" w:qFormat="1"/>
    <w:lsdException w:name="Strong" w:uiPriority="22"/>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rsid w:val="00F0715B"/>
    <w:pPr>
      <w:suppressAutoHyphens/>
    </w:pPr>
    <w:rPr>
      <w:rFonts w:ascii="New York" w:hAnsi="New York" w:cs="New York"/>
      <w:sz w:val="24"/>
      <w:lang w:eastAsia="ar-SA"/>
    </w:rPr>
  </w:style>
  <w:style w:type="paragraph" w:styleId="Pealkiri1">
    <w:name w:val="heading 1"/>
    <w:basedOn w:val="Normaallaad"/>
    <w:next w:val="Normaallaad"/>
    <w:link w:val="Pealkiri1Mrk"/>
    <w:rsid w:val="00937B86"/>
    <w:pPr>
      <w:spacing w:before="340" w:after="170"/>
      <w:jc w:val="both"/>
      <w:outlineLvl w:val="0"/>
    </w:pPr>
    <w:rPr>
      <w:rFonts w:ascii="Arial" w:hAnsi="Arial" w:cs="Arial"/>
      <w:b/>
      <w:szCs w:val="24"/>
      <w:lang w:val="en-GB"/>
    </w:rPr>
  </w:style>
  <w:style w:type="paragraph" w:styleId="Pealkiri2">
    <w:name w:val="heading 2"/>
    <w:basedOn w:val="Normaallaad"/>
    <w:next w:val="Normaallaad"/>
    <w:link w:val="Pealkiri2Mrk"/>
    <w:semiHidden/>
    <w:unhideWhenUsed/>
    <w:qFormat/>
    <w:rsid w:val="008D5F89"/>
    <w:pPr>
      <w:keepNext/>
      <w:spacing w:before="240" w:after="60"/>
      <w:outlineLvl w:val="1"/>
    </w:pPr>
    <w:rPr>
      <w:rFonts w:ascii="Calibri Light" w:hAnsi="Calibri Light" w:cs="Times New Roman"/>
      <w:b/>
      <w:bCs/>
      <w:i/>
      <w:iCs/>
      <w:sz w:val="28"/>
      <w:szCs w:val="28"/>
    </w:rPr>
  </w:style>
  <w:style w:type="paragraph" w:styleId="Pealkiri3">
    <w:name w:val="heading 3"/>
    <w:basedOn w:val="Normaallaad"/>
    <w:next w:val="Normaallaad"/>
    <w:link w:val="Pealkiri3Mrk"/>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sid w:val="00937B86"/>
    <w:rPr>
      <w:rFonts w:ascii="Arial" w:hAnsi="Arial" w:cs="Arial"/>
      <w:b/>
      <w:sz w:val="24"/>
      <w:szCs w:val="24"/>
      <w:lang w:val="en-GB" w:eastAsia="ar-SA"/>
    </w:rPr>
  </w:style>
  <w:style w:type="character" w:customStyle="1" w:styleId="Pealkiri2Mrk">
    <w:name w:val="Pealkiri 2 Märk"/>
    <w:link w:val="Pealkiri2"/>
    <w:semiHidden/>
    <w:rsid w:val="008D5F89"/>
    <w:rPr>
      <w:rFonts w:ascii="Calibri Light" w:eastAsia="Times New Roman" w:hAnsi="Calibri Light" w:cs="Times New Roman"/>
      <w:b/>
      <w:bCs/>
      <w:i/>
      <w:iCs/>
      <w:sz w:val="28"/>
      <w:szCs w:val="28"/>
      <w:lang w:val="fr-FR" w:eastAsia="ar-SA"/>
    </w:rPr>
  </w:style>
  <w:style w:type="character" w:customStyle="1" w:styleId="Pealkiri3Mrk">
    <w:name w:val="Pealkiri 3 Märk"/>
    <w:link w:val="Pealkiri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Normaallaad"/>
    <w:next w:val="Normaallaad"/>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age">
    <w:name w:val="Appel note de bas de page"/>
    <w:rsid w:val="009C6152"/>
    <w:rPr>
      <w:i/>
      <w:iCs/>
      <w:sz w:val="20"/>
      <w:vertAlign w:val="baseline"/>
    </w:rPr>
  </w:style>
  <w:style w:type="paragraph" w:customStyle="1" w:styleId="Notecorrespondingauthor">
    <w:name w:val="Note corresponding author"/>
    <w:basedOn w:val="Allmrkusetekst"/>
    <w:next w:val="Normaallaad"/>
    <w:link w:val="NotecorrespondingauthorCar"/>
    <w:rsid w:val="005B3EBD"/>
    <w:rPr>
      <w:rFonts w:ascii="Times New Roman" w:hAnsi="Times New Roman"/>
      <w:vertAlign w:val="superscript"/>
    </w:rPr>
  </w:style>
  <w:style w:type="paragraph" w:styleId="Allmrkusetekst">
    <w:name w:val="footnote text"/>
    <w:basedOn w:val="Normaallaad"/>
    <w:link w:val="AllmrkusetekstMrk"/>
    <w:semiHidden/>
    <w:rsid w:val="00B036D9"/>
    <w:rPr>
      <w:sz w:val="20"/>
    </w:rPr>
  </w:style>
  <w:style w:type="character" w:customStyle="1" w:styleId="AllmrkusetekstMrk">
    <w:name w:val="Allmärkuse tekst Märk"/>
    <w:link w:val="Allmrkusetekst"/>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Normaallaad"/>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Normaallaad"/>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Normaallaad"/>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Pealkiri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Normaallaad"/>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character" w:styleId="Lehekljenumber">
    <w:name w:val="page number"/>
    <w:basedOn w:val="Liguvaikefont"/>
    <w:rsid w:val="00D93645"/>
  </w:style>
  <w:style w:type="character" w:styleId="Allmrkuseviide">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styleId="Lpumrkuseviide">
    <w:name w:val="endnote reference"/>
    <w:semiHidden/>
    <w:rsid w:val="00B036D9"/>
    <w:rPr>
      <w:vertAlign w:val="superscript"/>
    </w:rPr>
  </w:style>
  <w:style w:type="paragraph" w:styleId="Jalus">
    <w:name w:val="footer"/>
    <w:basedOn w:val="Normaallaad"/>
    <w:link w:val="JalusMrk"/>
    <w:uiPriority w:val="99"/>
    <w:rsid w:val="00B036D9"/>
  </w:style>
  <w:style w:type="character" w:customStyle="1" w:styleId="JalusMrk">
    <w:name w:val="Jalus Märk"/>
    <w:link w:val="Jalus"/>
    <w:uiPriority w:val="99"/>
    <w:rsid w:val="007719FE"/>
    <w:rPr>
      <w:rFonts w:ascii="New York" w:hAnsi="New York" w:cs="New York"/>
      <w:sz w:val="24"/>
      <w:lang w:eastAsia="ar-SA"/>
    </w:rPr>
  </w:style>
  <w:style w:type="paragraph" w:customStyle="1" w:styleId="Tablecontent">
    <w:name w:val="Table content"/>
    <w:basedOn w:val="Normaallaad"/>
    <w:rsid w:val="0006121B"/>
    <w:pPr>
      <w:jc w:val="center"/>
    </w:pPr>
    <w:rPr>
      <w:rFonts w:ascii="Times" w:hAnsi="Times" w:cs="Times New Roman"/>
      <w:sz w:val="18"/>
    </w:rPr>
  </w:style>
  <w:style w:type="paragraph" w:customStyle="1" w:styleId="TableHeading">
    <w:name w:val="Table Heading"/>
    <w:basedOn w:val="Normaallaad"/>
    <w:rsid w:val="0006121B"/>
    <w:pPr>
      <w:suppressLineNumbers/>
      <w:jc w:val="center"/>
    </w:pPr>
    <w:rPr>
      <w:b/>
      <w:bCs/>
    </w:rPr>
  </w:style>
  <w:style w:type="character" w:styleId="Hperlink">
    <w:name w:val="Hyperlink"/>
    <w:rsid w:val="004C62FB"/>
    <w:rPr>
      <w:color w:val="0000FF"/>
      <w:u w:val="single"/>
    </w:rPr>
  </w:style>
  <w:style w:type="paragraph" w:styleId="Pealkiri">
    <w:name w:val="Title"/>
    <w:basedOn w:val="Normaallaad"/>
    <w:next w:val="AuthorLastName"/>
    <w:link w:val="PealkiriMrk"/>
    <w:qFormat/>
    <w:rsid w:val="00937B86"/>
    <w:pPr>
      <w:spacing w:before="1247" w:after="340"/>
      <w:jc w:val="both"/>
    </w:pPr>
    <w:rPr>
      <w:rFonts w:ascii="Arial" w:hAnsi="Arial" w:cs="Arial"/>
      <w:b/>
      <w:sz w:val="32"/>
      <w:szCs w:val="32"/>
      <w:lang w:val="en-GB"/>
    </w:rPr>
  </w:style>
  <w:style w:type="character" w:customStyle="1" w:styleId="PealkiriMrk">
    <w:name w:val="Pealkiri Märk"/>
    <w:link w:val="Pealkiri"/>
    <w:rsid w:val="00937B86"/>
    <w:rPr>
      <w:rFonts w:ascii="Arial" w:hAnsi="Arial" w:cs="Arial"/>
      <w:b/>
      <w:sz w:val="32"/>
      <w:szCs w:val="32"/>
      <w:lang w:val="en-GB" w:eastAsia="ar-SA"/>
    </w:rPr>
  </w:style>
  <w:style w:type="paragraph" w:customStyle="1" w:styleId="Section0">
    <w:name w:val="Section*"/>
    <w:basedOn w:val="Pealkiri1"/>
    <w:next w:val="Paragraphfirst"/>
    <w:qFormat/>
    <w:rsid w:val="00FB65AF"/>
  </w:style>
  <w:style w:type="paragraph" w:customStyle="1" w:styleId="Subsection">
    <w:name w:val="Subsection"/>
    <w:basedOn w:val="Pealkiri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Pealkiri3"/>
    <w:next w:val="Paragraphfirst"/>
    <w:qFormat/>
    <w:rsid w:val="001910F3"/>
    <w:pPr>
      <w:numPr>
        <w:ilvl w:val="2"/>
        <w:numId w:val="3"/>
      </w:numPr>
      <w:spacing w:before="340" w:after="170"/>
    </w:pPr>
    <w:rPr>
      <w:rFonts w:ascii="Arial" w:hAnsi="Arial"/>
      <w:b w:val="0"/>
      <w:i/>
      <w:sz w:val="20"/>
    </w:rPr>
  </w:style>
  <w:style w:type="paragraph" w:customStyle="1" w:styleId="StyleEquationsinthemiddle">
    <w:name w:val="Style Equations in the middle"/>
    <w:basedOn w:val="Normaallaad"/>
    <w:rsid w:val="00F7426B"/>
    <w:pPr>
      <w:jc w:val="center"/>
    </w:pPr>
    <w:rPr>
      <w:rFonts w:cs="Times New Roman"/>
    </w:rPr>
  </w:style>
  <w:style w:type="paragraph" w:customStyle="1" w:styleId="TableCaption">
    <w:name w:val="Table Caption"/>
    <w:basedOn w:val="Normaallaad"/>
    <w:qFormat/>
    <w:rsid w:val="005E6A65"/>
    <w:pPr>
      <w:spacing w:before="120" w:after="120"/>
      <w:jc w:val="center"/>
    </w:pPr>
    <w:rPr>
      <w:rFonts w:ascii="Times" w:hAnsi="Times"/>
      <w:iCs/>
      <w:sz w:val="18"/>
      <w:szCs w:val="16"/>
      <w:lang w:val="en-GB"/>
    </w:rPr>
  </w:style>
  <w:style w:type="paragraph" w:styleId="Kommentaariteema">
    <w:name w:val="annotation subject"/>
    <w:basedOn w:val="Normaallaad"/>
    <w:next w:val="Normaallaad"/>
    <w:link w:val="KommentaariteemaMrk"/>
    <w:rsid w:val="00F7426B"/>
    <w:rPr>
      <w:b/>
      <w:bCs/>
      <w:sz w:val="20"/>
    </w:rPr>
  </w:style>
  <w:style w:type="character" w:customStyle="1" w:styleId="KommentaariteemaMrk">
    <w:name w:val="Kommentaari teema Märk"/>
    <w:link w:val="Kommentaariteema"/>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sBody-BookProceedingstitle">
    <w:name w:val="References Body - Book/Proceedings title"/>
    <w:basedOn w:val="Normaallaad"/>
    <w:link w:val="ReferencesBody-BookProceedingstitleCar"/>
    <w:qFormat/>
    <w:rsid w:val="00526F18"/>
    <w:pPr>
      <w:spacing w:before="60"/>
      <w:ind w:left="360" w:hanging="360"/>
    </w:pPr>
    <w:rPr>
      <w:rFonts w:ascii="Times New Roman" w:hAnsi="Times New Roman"/>
      <w:i/>
      <w:sz w:val="20"/>
    </w:rPr>
  </w:style>
  <w:style w:type="character" w:customStyle="1" w:styleId="ReferencesBody-BookProceedingstitleCar">
    <w:name w:val="References Body - Book/Proceedings title Car"/>
    <w:link w:val="References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Normaallaad"/>
    <w:rsid w:val="0006121B"/>
    <w:pPr>
      <w:jc w:val="center"/>
    </w:pPr>
    <w:rPr>
      <w:rFonts w:ascii="Times" w:hAnsi="Times" w:cs="Times New Roman"/>
      <w:b/>
      <w:bCs/>
      <w:sz w:val="18"/>
    </w:rPr>
  </w:style>
  <w:style w:type="paragraph" w:customStyle="1" w:styleId="ReferencesBody">
    <w:name w:val="References Body"/>
    <w:basedOn w:val="Normaallaad"/>
    <w:qFormat/>
    <w:rsid w:val="00855148"/>
    <w:pPr>
      <w:numPr>
        <w:numId w:val="1"/>
      </w:numPr>
      <w:spacing w:before="60"/>
    </w:pPr>
    <w:rPr>
      <w:rFonts w:ascii="Times New Roman" w:hAnsi="Times New Roman"/>
      <w:sz w:val="20"/>
      <w:lang w:val="en-GB"/>
    </w:rPr>
  </w:style>
  <w:style w:type="paragraph" w:customStyle="1" w:styleId="Acknowledgement">
    <w:name w:val="Acknowledgement"/>
    <w:basedOn w:val="Normaallaad"/>
    <w:rsid w:val="00F6496A"/>
    <w:pPr>
      <w:jc w:val="both"/>
    </w:pPr>
    <w:rPr>
      <w:rFonts w:ascii="Times" w:hAnsi="Times" w:cs="Times New Roman"/>
      <w:sz w:val="18"/>
    </w:rPr>
  </w:style>
  <w:style w:type="character" w:styleId="Lahendamatamainimine">
    <w:name w:val="Unresolved Mention"/>
    <w:basedOn w:val="Liguvaikefont"/>
    <w:uiPriority w:val="99"/>
    <w:semiHidden/>
    <w:unhideWhenUsed/>
    <w:rsid w:val="00FD4340"/>
    <w:rPr>
      <w:color w:val="605E5C"/>
      <w:shd w:val="clear" w:color="auto" w:fill="E1DFDD"/>
    </w:rPr>
  </w:style>
  <w:style w:type="paragraph" w:styleId="Bibliograafia">
    <w:name w:val="Bibliography"/>
    <w:basedOn w:val="Normaallaad"/>
    <w:next w:val="Normaallaad"/>
    <w:uiPriority w:val="37"/>
    <w:unhideWhenUsed/>
    <w:rsid w:val="005809D6"/>
    <w:pPr>
      <w:tabs>
        <w:tab w:val="left" w:pos="504"/>
      </w:tabs>
      <w:ind w:left="504" w:hanging="504"/>
    </w:pPr>
  </w:style>
  <w:style w:type="character" w:styleId="Kommentaariviide">
    <w:name w:val="annotation reference"/>
    <w:basedOn w:val="Liguvaikefont"/>
    <w:rsid w:val="005809D6"/>
    <w:rPr>
      <w:sz w:val="16"/>
      <w:szCs w:val="16"/>
    </w:rPr>
  </w:style>
  <w:style w:type="paragraph" w:styleId="Kommentaaritekst">
    <w:name w:val="annotation text"/>
    <w:basedOn w:val="Normaallaad"/>
    <w:link w:val="KommentaaritekstMrk"/>
    <w:rsid w:val="005809D6"/>
    <w:rPr>
      <w:sz w:val="20"/>
    </w:rPr>
  </w:style>
  <w:style w:type="character" w:customStyle="1" w:styleId="KommentaaritekstMrk">
    <w:name w:val="Kommentaari tekst Märk"/>
    <w:basedOn w:val="Liguvaikefont"/>
    <w:link w:val="Kommentaaritekst"/>
    <w:rsid w:val="005809D6"/>
    <w:rPr>
      <w:rFonts w:ascii="New York" w:hAnsi="New York" w:cs="New York"/>
      <w:lang w:eastAsia="ar-SA"/>
    </w:rPr>
  </w:style>
  <w:style w:type="character" w:styleId="Kohatitetekst">
    <w:name w:val="Placeholder Text"/>
    <w:basedOn w:val="Liguvaikefont"/>
    <w:uiPriority w:val="99"/>
    <w:semiHidden/>
    <w:rsid w:val="007F33D8"/>
    <w:rPr>
      <w:color w:val="808080"/>
    </w:rPr>
  </w:style>
  <w:style w:type="paragraph" w:styleId="Redaktsioon">
    <w:name w:val="Revision"/>
    <w:hidden/>
    <w:uiPriority w:val="99"/>
    <w:semiHidden/>
    <w:rsid w:val="00F37600"/>
    <w:rPr>
      <w:rFonts w:ascii="New York" w:hAnsi="New York" w:cs="New York"/>
      <w:sz w:val="24"/>
      <w:lang w:eastAsia="ar-SA"/>
    </w:rPr>
  </w:style>
  <w:style w:type="table" w:styleId="Kontuurtabel">
    <w:name w:val="Table Grid"/>
    <w:basedOn w:val="Normaaltabel"/>
    <w:rsid w:val="00431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allaad"/>
    <w:rsid w:val="0045083C"/>
    <w:pPr>
      <w:suppressAutoHyphens w:val="0"/>
      <w:spacing w:before="100" w:beforeAutospacing="1" w:after="100" w:afterAutospacing="1"/>
    </w:pPr>
    <w:rPr>
      <w:rFonts w:ascii="Times New Roman" w:hAnsi="Times New Roman" w:cs="Times New Roman"/>
      <w:szCs w:val="24"/>
      <w:lang w:val="et-EE" w:eastAsia="et-EE"/>
    </w:rPr>
  </w:style>
  <w:style w:type="character" w:customStyle="1" w:styleId="cf01">
    <w:name w:val="cf01"/>
    <w:basedOn w:val="Liguvaikefont"/>
    <w:rsid w:val="0045083C"/>
    <w:rPr>
      <w:rFonts w:ascii="Segoe UI" w:hAnsi="Segoe UI" w:cs="Segoe UI" w:hint="default"/>
      <w:sz w:val="18"/>
      <w:szCs w:val="18"/>
    </w:rPr>
  </w:style>
  <w:style w:type="character" w:customStyle="1" w:styleId="cf11">
    <w:name w:val="cf11"/>
    <w:basedOn w:val="Liguvaikefont"/>
    <w:rsid w:val="0045083C"/>
    <w:rPr>
      <w:rFonts w:ascii="Segoe UI" w:hAnsi="Segoe UI" w:cs="Segoe UI" w:hint="default"/>
      <w:sz w:val="18"/>
      <w:szCs w:val="18"/>
    </w:rPr>
  </w:style>
  <w:style w:type="character" w:customStyle="1" w:styleId="cf21">
    <w:name w:val="cf21"/>
    <w:basedOn w:val="Liguvaikefont"/>
    <w:rsid w:val="0045083C"/>
    <w:rPr>
      <w:rFonts w:ascii="Segoe UI" w:hAnsi="Segoe UI" w:cs="Segoe UI" w:hint="default"/>
      <w:color w:val="575756"/>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10880">
      <w:bodyDiv w:val="1"/>
      <w:marLeft w:val="0"/>
      <w:marRight w:val="0"/>
      <w:marTop w:val="0"/>
      <w:marBottom w:val="0"/>
      <w:divBdr>
        <w:top w:val="none" w:sz="0" w:space="0" w:color="auto"/>
        <w:left w:val="none" w:sz="0" w:space="0" w:color="auto"/>
        <w:bottom w:val="none" w:sz="0" w:space="0" w:color="auto"/>
        <w:right w:val="none" w:sz="0" w:space="0" w:color="auto"/>
      </w:divBdr>
    </w:div>
    <w:div w:id="764225799">
      <w:bodyDiv w:val="1"/>
      <w:marLeft w:val="0"/>
      <w:marRight w:val="0"/>
      <w:marTop w:val="0"/>
      <w:marBottom w:val="0"/>
      <w:divBdr>
        <w:top w:val="none" w:sz="0" w:space="0" w:color="auto"/>
        <w:left w:val="none" w:sz="0" w:space="0" w:color="auto"/>
        <w:bottom w:val="none" w:sz="0" w:space="0" w:color="auto"/>
        <w:right w:val="none" w:sz="0" w:space="0" w:color="auto"/>
      </w:divBdr>
    </w:div>
    <w:div w:id="908345663">
      <w:bodyDiv w:val="1"/>
      <w:marLeft w:val="0"/>
      <w:marRight w:val="0"/>
      <w:marTop w:val="0"/>
      <w:marBottom w:val="0"/>
      <w:divBdr>
        <w:top w:val="none" w:sz="0" w:space="0" w:color="auto"/>
        <w:left w:val="none" w:sz="0" w:space="0" w:color="auto"/>
        <w:bottom w:val="none" w:sz="0" w:space="0" w:color="auto"/>
        <w:right w:val="none" w:sz="0" w:space="0" w:color="auto"/>
      </w:divBdr>
    </w:div>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 w:id="147941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2%20column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C4EBD-9F66-4792-B3E5-C3BE102D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WOC-2 columns</Template>
  <TotalTime>10</TotalTime>
  <Pages>5</Pages>
  <Words>3165</Words>
  <Characters>18359</Characters>
  <Application>Microsoft Office Word</Application>
  <DocSecurity>0</DocSecurity>
  <Lines>152</Lines>
  <Paragraphs>42</Paragraphs>
  <ScaleCrop>false</ScaleCrop>
  <HeadingPairs>
    <vt:vector size="6" baseType="variant">
      <vt:variant>
        <vt:lpstr>Pealkiri</vt:lpstr>
      </vt:variant>
      <vt:variant>
        <vt:i4>1</vt:i4>
      </vt:variant>
      <vt:variant>
        <vt:lpstr>Title</vt:lpstr>
      </vt:variant>
      <vt:variant>
        <vt:i4>1</vt:i4>
      </vt:variant>
      <vt:variant>
        <vt:lpstr>Titre</vt:lpstr>
      </vt:variant>
      <vt:variant>
        <vt:i4>1</vt:i4>
      </vt:variant>
    </vt:vector>
  </HeadingPairs>
  <TitlesOfParts>
    <vt:vector size="3"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21482</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Solange Guehot</dc:creator>
  <cp:keywords/>
  <cp:lastModifiedBy>Riinu Härmas</cp:lastModifiedBy>
  <cp:revision>2</cp:revision>
  <cp:lastPrinted>2016-03-18T15:26:00Z</cp:lastPrinted>
  <dcterms:created xsi:type="dcterms:W3CDTF">2023-07-03T08:19:00Z</dcterms:created>
  <dcterms:modified xsi:type="dcterms:W3CDTF">2023-07-03T08:19:00Z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id="mcO3kl0t"/&gt;&lt;style id="http://www.zotero.org/styles/c" hasBibliography="1" bibliographyStyleHasBeenSet="1"/&gt;&lt;prefs&gt;&lt;pref name="fieldType" value="Field"/&gt;&lt;/prefs&gt;&lt;/data&gt;</vt:lpwstr>
  </property>
</Properties>
</file>