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D6CE69" w14:textId="0655C02E" w:rsidR="00036AC2" w:rsidRPr="00036AC2" w:rsidRDefault="0058650E" w:rsidP="00F7426B">
      <w:pPr>
        <w:pStyle w:val="Title"/>
      </w:pPr>
      <w:r>
        <w:t>Conceptual design of supermirror polarizers at the European Spallation Source</w:t>
      </w:r>
    </w:p>
    <w:p w14:paraId="37B97F17" w14:textId="74C0A95C" w:rsidR="00524C4B" w:rsidRPr="0058650E" w:rsidRDefault="0058650E" w:rsidP="00F05EBE">
      <w:pPr>
        <w:pStyle w:val="AuthorLastName"/>
        <w:rPr>
          <w:iCs/>
        </w:rPr>
      </w:pPr>
      <w:proofErr w:type="spellStart"/>
      <w:r>
        <w:rPr>
          <w:rStyle w:val="AuthorFirstnameCar"/>
        </w:rPr>
        <w:t>Damián</w:t>
      </w:r>
      <w:proofErr w:type="spellEnd"/>
      <w:r>
        <w:t xml:space="preserve"> Martín Rodríguez</w:t>
      </w:r>
      <w:r w:rsidR="00F05EBE" w:rsidRPr="00A473A5">
        <w:rPr>
          <w:vertAlign w:val="superscript"/>
        </w:rPr>
        <w:t>1</w:t>
      </w:r>
      <w:r w:rsidR="00F05EBE" w:rsidRPr="00A473A5">
        <w:rPr>
          <w:rStyle w:val="FootnoteReference"/>
          <w:bCs w:val="0"/>
        </w:rPr>
        <w:footnoteReference w:id="1"/>
      </w:r>
      <w:r w:rsidR="00F05EBE" w:rsidRPr="009C6152">
        <w:rPr>
          <w:rStyle w:val="Appelnotedebasdepage"/>
        </w:rPr>
        <w:t>,</w:t>
      </w:r>
      <w:r w:rsidR="00AF3568" w:rsidRPr="00AF3568">
        <w:rPr>
          <w:rStyle w:val="AuthorFirstnameCar"/>
        </w:rPr>
        <w:t xml:space="preserve"> </w:t>
      </w:r>
      <w:r w:rsidR="00AF3568">
        <w:rPr>
          <w:rStyle w:val="AuthorFirstnameCar"/>
        </w:rPr>
        <w:t>Peter</w:t>
      </w:r>
      <w:r w:rsidR="00AF3568">
        <w:t xml:space="preserve"> Willendrup</w:t>
      </w:r>
      <w:r w:rsidR="00AF3568" w:rsidRPr="00A473A5">
        <w:rPr>
          <w:vertAlign w:val="superscript"/>
        </w:rPr>
        <w:t>1</w:t>
      </w:r>
      <w:r w:rsidR="00AF3568">
        <w:rPr>
          <w:vertAlign w:val="superscript"/>
        </w:rPr>
        <w:t>, 2</w:t>
      </w:r>
      <w:r w:rsidR="00AF3568">
        <w:t xml:space="preserve">, </w:t>
      </w:r>
      <w:r w:rsidR="00F05EBE" w:rsidRPr="009C6152">
        <w:rPr>
          <w:rStyle w:val="Appelnotedebasdepage"/>
        </w:rPr>
        <w:t xml:space="preserve"> </w:t>
      </w:r>
      <w:r>
        <w:rPr>
          <w:rStyle w:val="AuthorFirstnameCar"/>
        </w:rPr>
        <w:t>Wai</w:t>
      </w:r>
      <w:r>
        <w:rPr>
          <w:rStyle w:val="AuthorFirstnameCar"/>
          <w:lang w:val="en-US"/>
        </w:rPr>
        <w:t>-Tung</w:t>
      </w:r>
      <w:r>
        <w:t xml:space="preserve"> Lee</w:t>
      </w:r>
      <w:r>
        <w:rPr>
          <w:vertAlign w:val="superscript"/>
        </w:rPr>
        <w:t>1</w:t>
      </w:r>
      <w:r>
        <w:t>,</w:t>
      </w:r>
      <w:r w:rsidR="00F05EBE" w:rsidRPr="00A473A5">
        <w:t xml:space="preserve"> </w:t>
      </w:r>
      <w:r>
        <w:rPr>
          <w:rStyle w:val="AuthorFirstnameCar"/>
        </w:rPr>
        <w:t>Alex</w:t>
      </w:r>
      <w:r>
        <w:t xml:space="preserve"> Backs</w:t>
      </w:r>
      <w:r w:rsidRPr="00A473A5">
        <w:rPr>
          <w:vertAlign w:val="superscript"/>
        </w:rPr>
        <w:t>1</w:t>
      </w:r>
      <w:r>
        <w:rPr>
          <w:vertAlign w:val="superscript"/>
        </w:rPr>
        <w:t>, 3</w:t>
      </w:r>
      <w:r w:rsidR="003F5595">
        <w:t xml:space="preserve">, </w:t>
      </w:r>
      <w:r>
        <w:rPr>
          <w:rStyle w:val="AuthorFirstnameCar"/>
        </w:rPr>
        <w:t>Félix</w:t>
      </w:r>
      <w:r>
        <w:t xml:space="preserve"> Jiménez Villacorta</w:t>
      </w:r>
      <w:r>
        <w:rPr>
          <w:vertAlign w:val="superscript"/>
        </w:rPr>
        <w:t>4</w:t>
      </w:r>
      <w:r>
        <w:t>,</w:t>
      </w:r>
      <w:r w:rsidRPr="00A473A5">
        <w:t xml:space="preserve"> </w:t>
      </w:r>
      <w:r>
        <w:rPr>
          <w:rStyle w:val="AuthorFirstnameCar"/>
        </w:rPr>
        <w:t>Rasmus</w:t>
      </w:r>
      <w:r w:rsidR="00160AA6">
        <w:t xml:space="preserve"> Toft-</w:t>
      </w:r>
      <w:r>
        <w:t>Petersen</w:t>
      </w:r>
      <w:r w:rsidRPr="00A473A5">
        <w:rPr>
          <w:vertAlign w:val="superscript"/>
        </w:rPr>
        <w:t>1</w:t>
      </w:r>
      <w:r>
        <w:rPr>
          <w:vertAlign w:val="superscript"/>
        </w:rPr>
        <w:t>, 2</w:t>
      </w:r>
      <w:r>
        <w:t>, and</w:t>
      </w:r>
      <w:r w:rsidRPr="00A473A5">
        <w:t xml:space="preserve"> </w:t>
      </w:r>
      <w:r>
        <w:rPr>
          <w:rStyle w:val="AuthorFirstnameCar"/>
        </w:rPr>
        <w:t>Manuel</w:t>
      </w:r>
      <w:r>
        <w:t xml:space="preserve"> Morgano</w:t>
      </w:r>
      <w:r w:rsidRPr="00A473A5">
        <w:rPr>
          <w:vertAlign w:val="superscript"/>
        </w:rPr>
        <w:t>1</w:t>
      </w:r>
    </w:p>
    <w:p w14:paraId="00D761D6" w14:textId="0CB7A4B1" w:rsidR="00DB07EC" w:rsidRDefault="00F05EBE" w:rsidP="00F05EBE">
      <w:pPr>
        <w:pStyle w:val="Affiliation"/>
      </w:pPr>
      <w:r w:rsidRPr="00A473A5">
        <w:rPr>
          <w:vertAlign w:val="superscript"/>
        </w:rPr>
        <w:t>1</w:t>
      </w:r>
      <w:r w:rsidR="00DB07EC" w:rsidRPr="00DB07EC">
        <w:t>European Spallation Source ERI</w:t>
      </w:r>
      <w:r w:rsidR="00DB07EC">
        <w:t xml:space="preserve">C, </w:t>
      </w:r>
      <w:proofErr w:type="spellStart"/>
      <w:r w:rsidR="00DB07EC">
        <w:t>Partikelgatan</w:t>
      </w:r>
      <w:proofErr w:type="spellEnd"/>
      <w:r w:rsidR="00DB07EC">
        <w:t xml:space="preserve"> 2, 22484 Lund, Sweden</w:t>
      </w:r>
    </w:p>
    <w:p w14:paraId="3501F58A" w14:textId="426D3A6E" w:rsidR="00DB07EC" w:rsidRDefault="00F05EBE" w:rsidP="00DB07EC">
      <w:pPr>
        <w:pStyle w:val="Affiliation"/>
      </w:pPr>
      <w:r w:rsidRPr="00A473A5">
        <w:rPr>
          <w:vertAlign w:val="superscript"/>
        </w:rPr>
        <w:t>2</w:t>
      </w:r>
      <w:r w:rsidR="00DB07EC" w:rsidRPr="00DB07EC">
        <w:t xml:space="preserve">Technical University of Denmark, Anker </w:t>
      </w:r>
      <w:proofErr w:type="spellStart"/>
      <w:r w:rsidR="00DB07EC" w:rsidRPr="00DB07EC">
        <w:t>Engelunds</w:t>
      </w:r>
      <w:proofErr w:type="spellEnd"/>
      <w:r w:rsidR="00DB07EC" w:rsidRPr="00DB07EC">
        <w:t xml:space="preserve"> </w:t>
      </w:r>
      <w:proofErr w:type="spellStart"/>
      <w:r w:rsidR="00DB07EC" w:rsidRPr="00DB07EC">
        <w:t>Vej</w:t>
      </w:r>
      <w:proofErr w:type="spellEnd"/>
      <w:r w:rsidR="00DB07EC" w:rsidRPr="00DB07EC">
        <w:t xml:space="preserve"> 101, 2800 </w:t>
      </w:r>
      <w:proofErr w:type="spellStart"/>
      <w:r w:rsidR="00DB07EC" w:rsidRPr="00DB07EC">
        <w:t>Kongens</w:t>
      </w:r>
      <w:proofErr w:type="spellEnd"/>
      <w:r w:rsidR="00DB07EC" w:rsidRPr="00DB07EC">
        <w:t xml:space="preserve"> </w:t>
      </w:r>
      <w:proofErr w:type="spellStart"/>
      <w:r w:rsidR="00DB07EC" w:rsidRPr="00DB07EC">
        <w:t>Lyngby</w:t>
      </w:r>
      <w:proofErr w:type="spellEnd"/>
      <w:r w:rsidR="00DB07EC">
        <w:t>, Denmark</w:t>
      </w:r>
    </w:p>
    <w:p w14:paraId="06A5F204" w14:textId="621A75C2" w:rsidR="00DB07EC" w:rsidRDefault="00DB07EC" w:rsidP="00DB07EC">
      <w:pPr>
        <w:pStyle w:val="Affiliation"/>
      </w:pPr>
      <w:r>
        <w:rPr>
          <w:vertAlign w:val="superscript"/>
        </w:rPr>
        <w:t>3</w:t>
      </w:r>
      <w:r w:rsidR="00D4575A">
        <w:t xml:space="preserve">Lund University, Division of Materials Engineering, Ole </w:t>
      </w:r>
      <w:proofErr w:type="spellStart"/>
      <w:r w:rsidR="00D4575A">
        <w:t>Römers</w:t>
      </w:r>
      <w:proofErr w:type="spellEnd"/>
      <w:r w:rsidR="00D4575A">
        <w:t xml:space="preserve"> </w:t>
      </w:r>
      <w:proofErr w:type="spellStart"/>
      <w:r w:rsidR="00D4575A">
        <w:t>väg</w:t>
      </w:r>
      <w:proofErr w:type="spellEnd"/>
      <w:r w:rsidR="00D4575A">
        <w:t xml:space="preserve"> 1, 22363 Lund, Sweden</w:t>
      </w:r>
    </w:p>
    <w:p w14:paraId="2C248CC9" w14:textId="3EC2F041" w:rsidR="00D4575A" w:rsidRPr="00D4575A" w:rsidRDefault="00D4575A" w:rsidP="00D4575A">
      <w:pPr>
        <w:pStyle w:val="Affiliation"/>
        <w:rPr>
          <w:lang w:val="es-ES"/>
        </w:rPr>
      </w:pPr>
      <w:r w:rsidRPr="00D4575A">
        <w:rPr>
          <w:vertAlign w:val="superscript"/>
          <w:lang w:val="es-ES"/>
        </w:rPr>
        <w:t>4</w:t>
      </w:r>
      <w:r w:rsidRPr="00D4575A">
        <w:rPr>
          <w:lang w:val="es-ES"/>
        </w:rPr>
        <w:t xml:space="preserve">ESS-Bilbao, Parque Laida </w:t>
      </w:r>
      <w:proofErr w:type="spellStart"/>
      <w:r w:rsidRPr="00D4575A">
        <w:rPr>
          <w:lang w:val="es-ES"/>
        </w:rPr>
        <w:t>Bidea</w:t>
      </w:r>
      <w:proofErr w:type="spellEnd"/>
      <w:r w:rsidRPr="00D4575A">
        <w:rPr>
          <w:lang w:val="es-ES"/>
        </w:rPr>
        <w:t xml:space="preserve">, </w:t>
      </w:r>
      <w:r>
        <w:rPr>
          <w:lang w:val="es-ES"/>
        </w:rPr>
        <w:t xml:space="preserve">Edificio 207-B, 48160 </w:t>
      </w:r>
      <w:proofErr w:type="spellStart"/>
      <w:r>
        <w:rPr>
          <w:lang w:val="es-ES"/>
        </w:rPr>
        <w:t>Derio</w:t>
      </w:r>
      <w:proofErr w:type="spellEnd"/>
      <w:r>
        <w:rPr>
          <w:lang w:val="es-ES"/>
        </w:rPr>
        <w:t xml:space="preserve">, </w:t>
      </w:r>
      <w:proofErr w:type="spellStart"/>
      <w:r>
        <w:rPr>
          <w:lang w:val="es-ES"/>
        </w:rPr>
        <w:t>Spain</w:t>
      </w:r>
      <w:proofErr w:type="spellEnd"/>
    </w:p>
    <w:p w14:paraId="70DE6286" w14:textId="0909A53C" w:rsidR="00AA516F" w:rsidRDefault="00DB3B4E" w:rsidP="00B46442">
      <w:pPr>
        <w:pStyle w:val="Abstractbody"/>
        <w:sectPr w:rsidR="00AA516F" w:rsidSect="00036AC2">
          <w:footerReference w:type="first" r:id="rId8"/>
          <w:footnotePr>
            <w:numFmt w:val="chicago"/>
          </w:footnotePr>
          <w:pgSz w:w="11907" w:h="16839" w:code="9"/>
          <w:pgMar w:top="1361" w:right="1134" w:bottom="907" w:left="1134" w:header="567" w:footer="567" w:gutter="0"/>
          <w:pgNumType w:start="1"/>
          <w:cols w:space="720"/>
          <w:titlePg/>
          <w:docGrid w:linePitch="360"/>
        </w:sectPr>
      </w:pPr>
      <w:r w:rsidRPr="00AC6424">
        <w:rPr>
          <w:rStyle w:val="AbstractAbstractword"/>
        </w:rPr>
        <w:t>Abstract</w:t>
      </w:r>
      <w:r w:rsidRPr="00F0715B">
        <w:rPr>
          <w:rStyle w:val="AbstractAbstractword"/>
        </w:rPr>
        <w:t>.</w:t>
      </w:r>
      <w:r w:rsidRPr="00A473A5">
        <w:t xml:space="preserve"> </w:t>
      </w:r>
      <w:r w:rsidR="00D4575A">
        <w:t xml:space="preserve">Polarized neutrons will be made available on many European Spallation Source (ESS) instruments. There are a number of technologies available for polarizers and polarization </w:t>
      </w:r>
      <w:proofErr w:type="spellStart"/>
      <w:r w:rsidR="00D4575A">
        <w:t>analyzers</w:t>
      </w:r>
      <w:proofErr w:type="spellEnd"/>
      <w:r w:rsidR="00D4575A">
        <w:t xml:space="preserve"> </w:t>
      </w:r>
      <w:r w:rsidR="003C6CEC">
        <w:t>which will</w:t>
      </w:r>
      <w:r w:rsidR="00D4575A">
        <w:t xml:space="preserve"> be used at the ESS. The selection of the technology for an instrument is based on the performance and the constraints of the instrument. We will focus on the design of polarizing supermirror devices </w:t>
      </w:r>
      <w:r w:rsidR="003C6CEC">
        <w:t xml:space="preserve">using </w:t>
      </w:r>
      <w:r w:rsidR="00D4575A">
        <w:t xml:space="preserve">Monte Carlo ray tracing simulation </w:t>
      </w:r>
      <w:r w:rsidR="00B46442">
        <w:t xml:space="preserve">as </w:t>
      </w:r>
      <w:r w:rsidR="00D4575A">
        <w:t>an integral part of instrument design process</w:t>
      </w:r>
      <w:r w:rsidR="00004BFB">
        <w:t>.</w:t>
      </w:r>
      <w:r w:rsidR="0012140B" w:rsidRPr="0012140B">
        <w:t xml:space="preserve"> </w:t>
      </w:r>
      <w:r w:rsidR="009D3466">
        <w:t xml:space="preserve">A </w:t>
      </w:r>
      <w:proofErr w:type="spellStart"/>
      <w:r w:rsidR="009D3466">
        <w:t>McStas</w:t>
      </w:r>
      <w:proofErr w:type="spellEnd"/>
      <w:r w:rsidR="0012140B">
        <w:t xml:space="preserve"> module has been developed to simulate a multichannel V-cavity polarizer, seeking the appropriate parameters to be incorporated into the respective instrument</w:t>
      </w:r>
      <w:r w:rsidR="00004BFB">
        <w:t>.</w:t>
      </w:r>
      <w:r w:rsidR="0012140B">
        <w:t xml:space="preserve"> </w:t>
      </w:r>
      <w:r w:rsidR="00B46442">
        <w:t>The</w:t>
      </w:r>
      <w:r w:rsidR="000B44E8">
        <w:t xml:space="preserve"> performance</w:t>
      </w:r>
      <w:r w:rsidR="00B46442">
        <w:t xml:space="preserve"> of such polarizers is studied for three instruments at ESS </w:t>
      </w:r>
      <w:r w:rsidR="00F01FED">
        <w:t>(MIRACLES (backscattering</w:t>
      </w:r>
      <w:r w:rsidR="007F3641">
        <w:t xml:space="preserve"> spectrometer</w:t>
      </w:r>
      <w:r w:rsidR="00F01FED">
        <w:t>), BIFROST (</w:t>
      </w:r>
      <w:r w:rsidR="007F3641">
        <w:t>indirect geometry spectrometer</w:t>
      </w:r>
      <w:r w:rsidR="00F01FED">
        <w:t>) and ODIN (imaging)</w:t>
      </w:r>
      <w:r w:rsidR="007F3641">
        <w:t xml:space="preserve">) </w:t>
      </w:r>
      <w:r w:rsidR="00B46442">
        <w:t>with differen</w:t>
      </w:r>
      <w:r w:rsidR="000B44E8">
        <w:t xml:space="preserve">t requirements and constraints, where the suitability of this kind of devices can be assessed. </w:t>
      </w:r>
      <w:r w:rsidR="00004BFB">
        <w:t xml:space="preserve"> </w:t>
      </w:r>
      <w:r w:rsidR="007F3641">
        <w:t xml:space="preserve"> For the first two instruments, wh</w:t>
      </w:r>
      <w:r w:rsidR="0001117F">
        <w:t>ere there is no strong constraint on the placement of the polarizer, the optimal configurations show exce</w:t>
      </w:r>
      <w:r w:rsidR="00DD5486">
        <w:t>llent performance over the whole required wavelength ranges</w:t>
      </w:r>
      <w:r w:rsidR="0001117F">
        <w:t>. However, in ODIN, due to more strict constraints in the placement of the polar</w:t>
      </w:r>
      <w:r w:rsidR="00DD5486">
        <w:t>izer, the performance is more dependent on the wavelength in the required wavelength range and other options may need to be considered.</w:t>
      </w:r>
    </w:p>
    <w:p w14:paraId="1E76A272" w14:textId="21B955BB" w:rsidR="00EA0063" w:rsidRPr="00A473A5" w:rsidRDefault="00C12545" w:rsidP="006B7025">
      <w:pPr>
        <w:pStyle w:val="Section"/>
      </w:pPr>
      <w:r>
        <w:t>Introduction</w:t>
      </w:r>
    </w:p>
    <w:p w14:paraId="6FE93ED2" w14:textId="28DB3BB8" w:rsidR="00CB222C" w:rsidRDefault="00CB222C" w:rsidP="00036AC2">
      <w:pPr>
        <w:pStyle w:val="Paragraphfirst"/>
      </w:pPr>
      <w:r>
        <w:t xml:space="preserve">Polarized neutrons have been used in many applications for research using neutron scattering </w:t>
      </w:r>
      <w:r w:rsidR="009A6D5A">
        <w:t>techniques [</w:t>
      </w:r>
      <w:r w:rsidR="005325F6">
        <w:t>1</w:t>
      </w:r>
      <w:r w:rsidR="009A6D5A">
        <w:t>]</w:t>
      </w:r>
      <w:r>
        <w:t xml:space="preserve"> and have enabled a wider science case in many facilities. They also have enabled new experimental techniques like those using </w:t>
      </w:r>
      <w:proofErr w:type="spellStart"/>
      <w:r>
        <w:t>Larmor</w:t>
      </w:r>
      <w:proofErr w:type="spellEnd"/>
      <w:r>
        <w:t xml:space="preserve"> precession encoding</w:t>
      </w:r>
      <w:r w:rsidR="009A6D5A">
        <w:t xml:space="preserve"> [</w:t>
      </w:r>
      <w:r w:rsidR="00722413">
        <w:t>2</w:t>
      </w:r>
      <w:r w:rsidR="009A6D5A">
        <w:t>]</w:t>
      </w:r>
      <w:r>
        <w:t>.</w:t>
      </w:r>
    </w:p>
    <w:p w14:paraId="7EC643AE" w14:textId="05B8BE83" w:rsidR="00160AA6" w:rsidRDefault="00160AA6" w:rsidP="00CB222C">
      <w:pPr>
        <w:pStyle w:val="Paragraph"/>
      </w:pPr>
      <w:r>
        <w:t>There are different technologies available</w:t>
      </w:r>
      <w:r w:rsidR="00CB222C">
        <w:t xml:space="preserve"> </w:t>
      </w:r>
      <w:r>
        <w:t>to polarize the neutron beam like polarizing supermirrors</w:t>
      </w:r>
      <w:r w:rsidR="009A6D5A">
        <w:t xml:space="preserve"> [</w:t>
      </w:r>
      <w:r w:rsidR="00722413">
        <w:t>3</w:t>
      </w:r>
      <w:r w:rsidR="009A6D5A">
        <w:t>]</w:t>
      </w:r>
      <w:r>
        <w:t>,</w:t>
      </w:r>
      <w:r w:rsidR="009D3466">
        <w:t xml:space="preserve"> polarized</w:t>
      </w:r>
      <w:r>
        <w:t xml:space="preserve"> </w:t>
      </w:r>
      <w:r w:rsidRPr="00160AA6">
        <w:rPr>
          <w:vertAlign w:val="superscript"/>
        </w:rPr>
        <w:t>3</w:t>
      </w:r>
      <w:r w:rsidR="009D3466">
        <w:t>He neutron spin filters</w:t>
      </w:r>
      <w:r w:rsidR="009A6D5A">
        <w:t xml:space="preserve"> [</w:t>
      </w:r>
      <w:r w:rsidR="00722413">
        <w:t>4</w:t>
      </w:r>
      <w:r w:rsidR="009A6D5A">
        <w:t>]</w:t>
      </w:r>
      <w:r w:rsidR="00537043">
        <w:t xml:space="preserve"> and</w:t>
      </w:r>
      <w:r>
        <w:t xml:space="preserve"> </w:t>
      </w:r>
      <w:proofErr w:type="spellStart"/>
      <w:r>
        <w:t>Heussler</w:t>
      </w:r>
      <w:proofErr w:type="spellEnd"/>
      <w:r>
        <w:t xml:space="preserve"> </w:t>
      </w:r>
      <w:proofErr w:type="spellStart"/>
      <w:r>
        <w:t>monochromators</w:t>
      </w:r>
      <w:proofErr w:type="spellEnd"/>
      <w:r>
        <w:t xml:space="preserve"> </w:t>
      </w:r>
      <w:r w:rsidR="009A6D5A">
        <w:t>[</w:t>
      </w:r>
      <w:r w:rsidR="00722413" w:rsidRPr="00722413">
        <w:t>5</w:t>
      </w:r>
      <w:r w:rsidR="009A6D5A">
        <w:t>]</w:t>
      </w:r>
      <w:r w:rsidR="00CB2356">
        <w:t xml:space="preserve"> </w:t>
      </w:r>
      <w:r>
        <w:t xml:space="preserve">among others. </w:t>
      </w:r>
      <w:r w:rsidR="00036AC2" w:rsidRPr="00036AC2">
        <w:t xml:space="preserve"> </w:t>
      </w:r>
      <w:r>
        <w:t>The choic</w:t>
      </w:r>
      <w:r w:rsidR="00607A9F">
        <w:t>e will depend on the requirements</w:t>
      </w:r>
      <w:r>
        <w:t xml:space="preserve"> and constraints of the instrument</w:t>
      </w:r>
      <w:r w:rsidR="007F0AC8">
        <w:t xml:space="preserve"> (To be discussed in Section 2)</w:t>
      </w:r>
      <w:r>
        <w:t xml:space="preserve">. </w:t>
      </w:r>
    </w:p>
    <w:p w14:paraId="0F6FE4A4" w14:textId="6BA585D6" w:rsidR="00DC3E2A" w:rsidRDefault="00160AA6" w:rsidP="00CB222C">
      <w:pPr>
        <w:pStyle w:val="Paragraph"/>
      </w:pPr>
      <w:r>
        <w:t>In the specific case of the European Spallation Source (ESS), an instrument suite has already been defined and it is being constructed</w:t>
      </w:r>
      <w:r w:rsidR="009A6D5A">
        <w:t xml:space="preserve"> [</w:t>
      </w:r>
      <w:r w:rsidR="00537043">
        <w:t>6</w:t>
      </w:r>
      <w:r w:rsidR="009A6D5A">
        <w:t>]</w:t>
      </w:r>
      <w:r>
        <w:t xml:space="preserve">. In many </w:t>
      </w:r>
      <w:r w:rsidR="00607A9F">
        <w:t>instruments, the scope has to be reduced and incorporate the use of polarization for a later time</w:t>
      </w:r>
      <w:r>
        <w:t xml:space="preserve">. This imposes certain constraints in the choice of technology and </w:t>
      </w:r>
      <w:r w:rsidR="005F796D">
        <w:t xml:space="preserve">needs careful design to still have a competitive performance. </w:t>
      </w:r>
    </w:p>
    <w:p w14:paraId="3AF04EEB" w14:textId="6548B85E" w:rsidR="00607A9F" w:rsidRDefault="00DC3E2A" w:rsidP="00CB222C">
      <w:pPr>
        <w:pStyle w:val="Paragraph"/>
      </w:pPr>
      <w:r>
        <w:t>In this work, we will present the design of the polarizer for three instruments: MIRACLES (backscattering spectrometer)</w:t>
      </w:r>
      <w:r w:rsidR="009A6D5A">
        <w:t xml:space="preserve"> [</w:t>
      </w:r>
      <w:r w:rsidR="00537043">
        <w:t>7</w:t>
      </w:r>
      <w:r w:rsidR="009A6D5A">
        <w:t>]</w:t>
      </w:r>
      <w:r>
        <w:t>, BIFROST (</w:t>
      </w:r>
      <w:r w:rsidR="006465C6">
        <w:t>in</w:t>
      </w:r>
      <w:r>
        <w:t>direct geometry s</w:t>
      </w:r>
      <w:r w:rsidR="00607A9F">
        <w:t>pectrometer)</w:t>
      </w:r>
      <w:r w:rsidR="009A6D5A">
        <w:t xml:space="preserve"> [</w:t>
      </w:r>
      <w:r w:rsidR="00537043">
        <w:t>8</w:t>
      </w:r>
      <w:r w:rsidR="009A6D5A">
        <w:t>]</w:t>
      </w:r>
      <w:r w:rsidR="00607A9F">
        <w:t xml:space="preserve"> and ODIN (imaging)</w:t>
      </w:r>
      <w:r w:rsidR="009A6D5A">
        <w:t xml:space="preserve"> [</w:t>
      </w:r>
      <w:r w:rsidR="00537043">
        <w:t>9</w:t>
      </w:r>
      <w:r w:rsidR="009A6D5A">
        <w:t>]</w:t>
      </w:r>
      <w:r w:rsidR="005F796D">
        <w:t xml:space="preserve">. </w:t>
      </w:r>
    </w:p>
    <w:p w14:paraId="01AD44C6" w14:textId="249251F6" w:rsidR="00607A9F" w:rsidRDefault="00607A9F" w:rsidP="00CB222C">
      <w:pPr>
        <w:pStyle w:val="Paragraph"/>
      </w:pPr>
      <w:r>
        <w:t xml:space="preserve">MIRACLES is a backscattering spectrometer that is located with other long instruments at ESS, where the sample position is around 160 m away from the </w:t>
      </w:r>
      <w:r>
        <w:t xml:space="preserve">moderator. Therefore, it has a long guide </w:t>
      </w:r>
      <w:r w:rsidR="009A6D5A">
        <w:t>[</w:t>
      </w:r>
      <w:r w:rsidR="00537043">
        <w:t>10</w:t>
      </w:r>
      <w:r w:rsidR="009A6D5A">
        <w:t xml:space="preserve">] </w:t>
      </w:r>
      <w:r>
        <w:t>where a polarizer can be placed where the beam is less divergent, ensuring a high polarization at the required operating wavelength range. The inclusion of polarization analysis in backscattering instruments is becoming more important and would enhance the current capabilities of the instruments</w:t>
      </w:r>
      <w:r w:rsidR="009A6D5A">
        <w:t xml:space="preserve"> [</w:t>
      </w:r>
      <w:r w:rsidR="00537043">
        <w:t>11</w:t>
      </w:r>
      <w:r w:rsidR="009A6D5A">
        <w:t>]</w:t>
      </w:r>
      <w:r>
        <w:t>.</w:t>
      </w:r>
    </w:p>
    <w:p w14:paraId="23A230C1" w14:textId="765F6D4A" w:rsidR="00607A9F" w:rsidRDefault="00607A9F" w:rsidP="00CB222C">
      <w:pPr>
        <w:pStyle w:val="Paragraph"/>
      </w:pPr>
      <w:r>
        <w:t>T</w:t>
      </w:r>
      <w:r w:rsidR="00EA0688">
        <w:t>he case of BIFROST</w:t>
      </w:r>
      <w:r w:rsidR="009A6D5A">
        <w:t xml:space="preserve"> </w:t>
      </w:r>
      <w:r>
        <w:t xml:space="preserve">is very similar as the case of MIRACLES in terms of constraints. </w:t>
      </w:r>
      <w:r w:rsidR="00247A2F">
        <w:t xml:space="preserve">Located in the same area, and at a similar distance from the moderator, it also has certain flexibility in the placement of the polarizer, and also can be included where the beam is less </w:t>
      </w:r>
      <w:r w:rsidR="006465C6">
        <w:t>divergent. The inclusion of a</w:t>
      </w:r>
      <w:r w:rsidR="009D3466">
        <w:t xml:space="preserve"> polarization analysis setup </w:t>
      </w:r>
      <w:r w:rsidR="00A2230A">
        <w:t xml:space="preserve">with a convenient </w:t>
      </w:r>
      <w:proofErr w:type="spellStart"/>
      <w:r w:rsidR="00A2230A">
        <w:t>analyz</w:t>
      </w:r>
      <w:r w:rsidR="00247A2F">
        <w:t>er</w:t>
      </w:r>
      <w:proofErr w:type="spellEnd"/>
      <w:r w:rsidR="00247A2F">
        <w:t xml:space="preserve"> technology, like the one proposed by P. </w:t>
      </w:r>
      <w:proofErr w:type="spellStart"/>
      <w:r w:rsidR="00247A2F">
        <w:t>B</w:t>
      </w:r>
      <w:r w:rsidR="00247A2F">
        <w:rPr>
          <w:rFonts w:cs="Times"/>
        </w:rPr>
        <w:t>ö</w:t>
      </w:r>
      <w:r w:rsidR="00247A2F">
        <w:t>ni</w:t>
      </w:r>
      <w:proofErr w:type="spellEnd"/>
      <w:r w:rsidR="009A6D5A">
        <w:t xml:space="preserve"> [</w:t>
      </w:r>
      <w:r w:rsidR="00537043">
        <w:t>12</w:t>
      </w:r>
      <w:r w:rsidR="009A6D5A">
        <w:t>]</w:t>
      </w:r>
      <w:r w:rsidR="009D3466">
        <w:t>, would be beneficial for increasing</w:t>
      </w:r>
      <w:r w:rsidR="00247A2F">
        <w:t xml:space="preserve"> the capabilities of the instrument.</w:t>
      </w:r>
    </w:p>
    <w:p w14:paraId="3D78B5DA" w14:textId="49AF5451" w:rsidR="00247A2F" w:rsidRDefault="00247A2F" w:rsidP="00CB222C">
      <w:pPr>
        <w:pStyle w:val="Paragraph"/>
      </w:pPr>
      <w:r>
        <w:t>In contrast to the othe</w:t>
      </w:r>
      <w:r w:rsidR="009D3466">
        <w:t>r cases, the constraints</w:t>
      </w:r>
      <w:r>
        <w:t xml:space="preserve"> in the ODIN beamline</w:t>
      </w:r>
      <w:r w:rsidR="0098582C">
        <w:t xml:space="preserve"> are stricter as it is a shorter instrument with a complex chopper cascade, which gives less flexibility to place the polarizer where the beam is less divergent. In addition to that, unlike the other two cases, the sample size is bigger and imposes an additional requirement of a polarized beam over a large region. The inclusion of polarized imaging will enhance the capabilities of the instrument further</w:t>
      </w:r>
      <w:r w:rsidR="009A6D5A">
        <w:t xml:space="preserve"> [</w:t>
      </w:r>
      <w:r w:rsidR="00537043">
        <w:t>13</w:t>
      </w:r>
      <w:r w:rsidR="009A6D5A">
        <w:t>]</w:t>
      </w:r>
      <w:r w:rsidR="0098582C">
        <w:t xml:space="preserve">. </w:t>
      </w:r>
    </w:p>
    <w:p w14:paraId="664B535E" w14:textId="7FC29B92" w:rsidR="005F796D" w:rsidRDefault="0098582C" w:rsidP="00CB222C">
      <w:pPr>
        <w:pStyle w:val="Paragraph"/>
      </w:pPr>
      <w:r>
        <w:t>For the purpose of designing the polarizers</w:t>
      </w:r>
      <w:r w:rsidR="005F796D">
        <w:t>, Monte Carlo ray-tracing codes</w:t>
      </w:r>
      <w:r w:rsidR="009A6D5A">
        <w:t xml:space="preserve"> [</w:t>
      </w:r>
      <w:r w:rsidR="00537043">
        <w:t>14</w:t>
      </w:r>
      <w:r w:rsidR="009D3466">
        <w:t>, 15</w:t>
      </w:r>
      <w:r w:rsidR="009A6D5A">
        <w:t>]</w:t>
      </w:r>
      <w:r w:rsidR="005F796D">
        <w:t xml:space="preserve"> are an essential tool</w:t>
      </w:r>
      <w:r w:rsidR="00F511B8">
        <w:t xml:space="preserve">, </w:t>
      </w:r>
      <w:r w:rsidR="00F511B8">
        <w:lastRenderedPageBreak/>
        <w:t xml:space="preserve">providing </w:t>
      </w:r>
      <w:r w:rsidR="006A11BA">
        <w:t xml:space="preserve">important insight </w:t>
      </w:r>
      <w:r w:rsidR="00F511B8">
        <w:t>to facilitate the best design choice to achieve the performance requirements.</w:t>
      </w:r>
    </w:p>
    <w:p w14:paraId="0F928A82" w14:textId="1248F2AA" w:rsidR="00241173" w:rsidRPr="00241173" w:rsidRDefault="00F85BFF" w:rsidP="00330D72">
      <w:pPr>
        <w:pStyle w:val="Section"/>
      </w:pPr>
      <w:r>
        <w:t>Technical considerations, simulation method</w:t>
      </w:r>
      <w:r w:rsidR="005F796D">
        <w:t xml:space="preserve"> and design principles</w:t>
      </w:r>
    </w:p>
    <w:p w14:paraId="153E7A9D" w14:textId="66947E54" w:rsidR="00C12C5E" w:rsidRPr="00330D72" w:rsidRDefault="00330D72" w:rsidP="00C12C5E">
      <w:pPr>
        <w:pStyle w:val="Paragraph"/>
        <w:rPr>
          <w:color w:val="000000" w:themeColor="text1"/>
          <w:lang w:val="en-US"/>
        </w:rPr>
      </w:pPr>
      <w:r>
        <w:t>Within the project to provide polarization at ESS [</w:t>
      </w:r>
      <w:r w:rsidR="007F0AC8">
        <w:t>16</w:t>
      </w:r>
      <w:r>
        <w:t>] there are different technologies considered for polariza</w:t>
      </w:r>
      <w:r w:rsidR="007F0AC8">
        <w:t>tion. There is going to be</w:t>
      </w:r>
      <w:r>
        <w:t xml:space="preserve"> shared equipment for </w:t>
      </w:r>
      <w:r w:rsidRPr="007F0AC8">
        <w:rPr>
          <w:vertAlign w:val="superscript"/>
        </w:rPr>
        <w:t>3</w:t>
      </w:r>
      <w:r>
        <w:t>He polarization,</w:t>
      </w:r>
      <w:r w:rsidR="00A217CC">
        <w:t xml:space="preserve"> but</w:t>
      </w:r>
      <w:r>
        <w:t xml:space="preserve"> some instruments can explore the possibilities for supermirror polarization. </w:t>
      </w:r>
      <w:r w:rsidR="008235CF" w:rsidRPr="007F0AC8">
        <w:rPr>
          <w:vertAlign w:val="superscript"/>
        </w:rPr>
        <w:t>3</w:t>
      </w:r>
      <w:r w:rsidR="008235CF">
        <w:t xml:space="preserve">He polarization has an important advantage that it can adapt to many beam characteristics (with more or less divergence) as the cell containing the </w:t>
      </w:r>
      <w:r w:rsidR="008235CF" w:rsidRPr="00C12C5E">
        <w:rPr>
          <w:vertAlign w:val="superscript"/>
        </w:rPr>
        <w:t>3</w:t>
      </w:r>
      <w:r w:rsidR="008235CF">
        <w:t>He gas can be manufactured in different geometries. On the other hand, supermirror polarizers need specific beam characteristics, like low beam divergence, in order to have a good polarization performance. However, s</w:t>
      </w:r>
      <w:r>
        <w:t>upermirror polarizers have the advantage of being passive elements that can produce polarized neutrons after the polarizer is placed accurately</w:t>
      </w:r>
      <w:r w:rsidR="008235CF">
        <w:t xml:space="preserve"> in the beam. In the case of </w:t>
      </w:r>
      <w:r w:rsidRPr="00C12C5E">
        <w:rPr>
          <w:vertAlign w:val="superscript"/>
        </w:rPr>
        <w:t>3</w:t>
      </w:r>
      <w:r>
        <w:t xml:space="preserve">He </w:t>
      </w:r>
      <w:r w:rsidR="008235CF">
        <w:t xml:space="preserve">polarization, it </w:t>
      </w:r>
      <w:r>
        <w:t>needs some time to be set up before the experiment as the gas needs to be polarized by optical pumping and polarization can change as a function of time. In the case of MIRACLES and BIFROST, as it will be discussed below</w:t>
      </w:r>
      <w:r w:rsidR="00F85BFF">
        <w:t xml:space="preserve"> (figs. 4 and 8)</w:t>
      </w:r>
      <w:r>
        <w:t>, the choice of supermirror polarizers is obvious as it can be placed where the neutron beam has low divergence. In the case of ODIN, with the limitation of placing the polarization in the cave, this is not that obvious and it is worth exploring this possibility to use the advantages of supermirrors while minimizing its inconveniences.</w:t>
      </w:r>
      <w:r w:rsidR="00C12C5E" w:rsidRPr="00C12C5E">
        <w:t xml:space="preserve"> </w:t>
      </w:r>
      <w:r w:rsidR="00C12C5E">
        <w:t>The requirements coming from the instruments are summarized in Table 1.</w:t>
      </w:r>
    </w:p>
    <w:p w14:paraId="18F2A5B1" w14:textId="77777777" w:rsidR="00C12C5E" w:rsidRDefault="00C12C5E" w:rsidP="00C12C5E">
      <w:pPr>
        <w:pStyle w:val="TableCaption"/>
      </w:pPr>
      <w:r w:rsidRPr="00036AC2">
        <w:rPr>
          <w:b/>
          <w:bCs/>
        </w:rPr>
        <w:t>Table 1.</w:t>
      </w:r>
      <w:r w:rsidRPr="00036AC2">
        <w:t xml:space="preserve"> </w:t>
      </w:r>
      <w:r>
        <w:t xml:space="preserve">Requirements for the polarizers </w:t>
      </w:r>
    </w:p>
    <w:p w14:paraId="2FCB23CF" w14:textId="77777777" w:rsidR="00C12C5E" w:rsidRPr="00EE60BA" w:rsidRDefault="00C12C5E" w:rsidP="00C12C5E">
      <w:pPr>
        <w:pStyle w:val="TableCaption"/>
        <w:rPr>
          <w:lang w:val="en-US"/>
        </w:rPr>
      </w:pPr>
      <w:r>
        <w:rPr>
          <w:vertAlign w:val="superscript"/>
        </w:rPr>
        <w:t xml:space="preserve">* </w:t>
      </w:r>
      <w:r>
        <w:t xml:space="preserve">Field of view </w:t>
      </w:r>
      <w:r>
        <w:rPr>
          <w:lang w:val="en-US"/>
        </w:rPr>
        <w:t>at 5 m from the pinhole position</w:t>
      </w:r>
    </w:p>
    <w:tbl>
      <w:tblPr>
        <w:tblW w:w="4701" w:type="dxa"/>
        <w:jc w:val="center"/>
        <w:tblLayout w:type="fixed"/>
        <w:tblLook w:val="0000" w:firstRow="0" w:lastRow="0" w:firstColumn="0" w:lastColumn="0" w:noHBand="0" w:noVBand="0"/>
      </w:tblPr>
      <w:tblGrid>
        <w:gridCol w:w="1129"/>
        <w:gridCol w:w="1164"/>
        <w:gridCol w:w="1204"/>
        <w:gridCol w:w="1204"/>
      </w:tblGrid>
      <w:tr w:rsidR="00C12C5E" w:rsidRPr="00036AC2" w14:paraId="1CF864F0" w14:textId="77777777" w:rsidTr="005970AF">
        <w:trPr>
          <w:trHeight w:val="434"/>
          <w:jc w:val="center"/>
        </w:trPr>
        <w:tc>
          <w:tcPr>
            <w:tcW w:w="1129" w:type="dxa"/>
            <w:tcBorders>
              <w:top w:val="single" w:sz="4" w:space="0" w:color="000000"/>
              <w:left w:val="single" w:sz="4" w:space="0" w:color="000000"/>
              <w:bottom w:val="single" w:sz="4" w:space="0" w:color="000000"/>
            </w:tcBorders>
            <w:vAlign w:val="center"/>
          </w:tcPr>
          <w:p w14:paraId="1F2991FF" w14:textId="77777777" w:rsidR="00C12C5E" w:rsidRPr="00036AC2" w:rsidRDefault="00C12C5E" w:rsidP="005970AF">
            <w:pPr>
              <w:pStyle w:val="TableHeadBold"/>
            </w:pPr>
            <w:r>
              <w:t>Instrument</w:t>
            </w:r>
          </w:p>
        </w:tc>
        <w:tc>
          <w:tcPr>
            <w:tcW w:w="1164" w:type="dxa"/>
            <w:tcBorders>
              <w:top w:val="single" w:sz="4" w:space="0" w:color="000000"/>
              <w:left w:val="single" w:sz="4" w:space="0" w:color="000000"/>
              <w:bottom w:val="single" w:sz="4" w:space="0" w:color="000000"/>
              <w:right w:val="single" w:sz="4" w:space="0" w:color="000000"/>
            </w:tcBorders>
            <w:vAlign w:val="center"/>
          </w:tcPr>
          <w:p w14:paraId="18D2964A" w14:textId="77777777" w:rsidR="00C12C5E" w:rsidRPr="00405835" w:rsidRDefault="00C12C5E" w:rsidP="005970AF">
            <w:pPr>
              <w:pStyle w:val="TableHeadBold"/>
              <w:rPr>
                <w:lang w:val="en-GB"/>
              </w:rPr>
            </w:pPr>
            <w:r>
              <w:t xml:space="preserve">Operating </w:t>
            </w:r>
            <w:proofErr w:type="spellStart"/>
            <w:r>
              <w:rPr>
                <w:rFonts w:cs="Times"/>
              </w:rPr>
              <w:t>Δλ</w:t>
            </w:r>
            <w:proofErr w:type="spellEnd"/>
            <w:r>
              <w:t xml:space="preserve"> (</w:t>
            </w:r>
            <w:r>
              <w:rPr>
                <w:lang w:val="sv-SE"/>
              </w:rPr>
              <w:t>Å)</w:t>
            </w:r>
          </w:p>
        </w:tc>
        <w:tc>
          <w:tcPr>
            <w:tcW w:w="1204" w:type="dxa"/>
            <w:tcBorders>
              <w:top w:val="single" w:sz="4" w:space="0" w:color="000000"/>
              <w:left w:val="single" w:sz="4" w:space="0" w:color="000000"/>
              <w:bottom w:val="single" w:sz="4" w:space="0" w:color="000000"/>
              <w:right w:val="single" w:sz="4" w:space="0" w:color="000000"/>
            </w:tcBorders>
            <w:vAlign w:val="center"/>
          </w:tcPr>
          <w:p w14:paraId="61DC66A1" w14:textId="77777777" w:rsidR="00C12C5E" w:rsidRDefault="00C12C5E" w:rsidP="005970AF">
            <w:pPr>
              <w:pStyle w:val="TableHeadBold"/>
            </w:pPr>
            <w:r>
              <w:t xml:space="preserve">Minimum </w:t>
            </w:r>
            <w:proofErr w:type="spellStart"/>
            <w:r>
              <w:t>polarization</w:t>
            </w:r>
            <w:proofErr w:type="spellEnd"/>
          </w:p>
        </w:tc>
        <w:tc>
          <w:tcPr>
            <w:tcW w:w="1204" w:type="dxa"/>
            <w:tcBorders>
              <w:top w:val="single" w:sz="4" w:space="0" w:color="000000"/>
              <w:left w:val="single" w:sz="4" w:space="0" w:color="000000"/>
              <w:bottom w:val="single" w:sz="4" w:space="0" w:color="000000"/>
              <w:right w:val="single" w:sz="4" w:space="0" w:color="000000"/>
            </w:tcBorders>
            <w:vAlign w:val="center"/>
          </w:tcPr>
          <w:p w14:paraId="5F5A0ED8" w14:textId="77777777" w:rsidR="00C12C5E" w:rsidRPr="00EE60BA" w:rsidRDefault="00C12C5E" w:rsidP="005970AF">
            <w:pPr>
              <w:pStyle w:val="TableHeadBold"/>
            </w:pPr>
            <w:proofErr w:type="spellStart"/>
            <w:r>
              <w:t>Sample</w:t>
            </w:r>
            <w:proofErr w:type="spellEnd"/>
            <w:r>
              <w:t xml:space="preserve"> size (cm</w:t>
            </w:r>
            <w:r>
              <w:rPr>
                <w:vertAlign w:val="superscript"/>
              </w:rPr>
              <w:t>2</w:t>
            </w:r>
            <w:r>
              <w:t>)</w:t>
            </w:r>
          </w:p>
        </w:tc>
      </w:tr>
      <w:tr w:rsidR="00C12C5E" w:rsidRPr="00036AC2" w14:paraId="3C3B4D0E" w14:textId="77777777" w:rsidTr="005970AF">
        <w:trPr>
          <w:trHeight w:val="434"/>
          <w:jc w:val="center"/>
        </w:trPr>
        <w:tc>
          <w:tcPr>
            <w:tcW w:w="1129" w:type="dxa"/>
            <w:tcBorders>
              <w:top w:val="single" w:sz="4" w:space="0" w:color="000000"/>
              <w:left w:val="single" w:sz="4" w:space="0" w:color="000000"/>
              <w:bottom w:val="single" w:sz="4" w:space="0" w:color="000000"/>
            </w:tcBorders>
            <w:vAlign w:val="center"/>
          </w:tcPr>
          <w:p w14:paraId="00451752" w14:textId="77777777" w:rsidR="00C12C5E" w:rsidRPr="00036AC2" w:rsidRDefault="00C12C5E" w:rsidP="005970AF">
            <w:pPr>
              <w:pStyle w:val="Tablecontent"/>
            </w:pPr>
            <w:r>
              <w:t>MIRACLES</w:t>
            </w:r>
          </w:p>
        </w:tc>
        <w:tc>
          <w:tcPr>
            <w:tcW w:w="1164" w:type="dxa"/>
            <w:tcBorders>
              <w:top w:val="single" w:sz="4" w:space="0" w:color="000000"/>
              <w:left w:val="single" w:sz="4" w:space="0" w:color="000000"/>
              <w:bottom w:val="single" w:sz="4" w:space="0" w:color="000000"/>
              <w:right w:val="single" w:sz="4" w:space="0" w:color="000000"/>
            </w:tcBorders>
            <w:vAlign w:val="center"/>
          </w:tcPr>
          <w:p w14:paraId="759C46E1" w14:textId="77777777" w:rsidR="00C12C5E" w:rsidRPr="00036AC2" w:rsidRDefault="00C12C5E" w:rsidP="005970AF">
            <w:pPr>
              <w:pStyle w:val="Tablecontent"/>
            </w:pPr>
            <w:r>
              <w:t>5.0 – 7.0</w:t>
            </w:r>
          </w:p>
        </w:tc>
        <w:tc>
          <w:tcPr>
            <w:tcW w:w="1204" w:type="dxa"/>
            <w:tcBorders>
              <w:top w:val="single" w:sz="4" w:space="0" w:color="000000"/>
              <w:left w:val="single" w:sz="4" w:space="0" w:color="000000"/>
              <w:bottom w:val="single" w:sz="4" w:space="0" w:color="000000"/>
              <w:right w:val="single" w:sz="4" w:space="0" w:color="000000"/>
            </w:tcBorders>
            <w:vAlign w:val="center"/>
          </w:tcPr>
          <w:p w14:paraId="07581862" w14:textId="77777777" w:rsidR="00C12C5E" w:rsidRDefault="00C12C5E" w:rsidP="005970AF">
            <w:pPr>
              <w:pStyle w:val="Tablecontent"/>
            </w:pPr>
            <w:r>
              <w:t>0.95</w:t>
            </w:r>
          </w:p>
        </w:tc>
        <w:tc>
          <w:tcPr>
            <w:tcW w:w="1204" w:type="dxa"/>
            <w:tcBorders>
              <w:top w:val="single" w:sz="4" w:space="0" w:color="000000"/>
              <w:left w:val="single" w:sz="4" w:space="0" w:color="000000"/>
              <w:bottom w:val="single" w:sz="4" w:space="0" w:color="000000"/>
              <w:right w:val="single" w:sz="4" w:space="0" w:color="000000"/>
            </w:tcBorders>
            <w:vAlign w:val="center"/>
          </w:tcPr>
          <w:p w14:paraId="59AC2604" w14:textId="77777777" w:rsidR="00C12C5E" w:rsidRDefault="00C12C5E" w:rsidP="005970AF">
            <w:pPr>
              <w:pStyle w:val="Tablecontent"/>
            </w:pPr>
            <w:r>
              <w:t>3.0 x 3.0</w:t>
            </w:r>
          </w:p>
        </w:tc>
      </w:tr>
      <w:tr w:rsidR="00C12C5E" w:rsidRPr="00036AC2" w14:paraId="76DB83BF" w14:textId="77777777" w:rsidTr="005970AF">
        <w:trPr>
          <w:trHeight w:val="434"/>
          <w:jc w:val="center"/>
        </w:trPr>
        <w:tc>
          <w:tcPr>
            <w:tcW w:w="1129" w:type="dxa"/>
            <w:tcBorders>
              <w:top w:val="single" w:sz="4" w:space="0" w:color="000000"/>
              <w:left w:val="single" w:sz="4" w:space="0" w:color="000000"/>
              <w:bottom w:val="single" w:sz="4" w:space="0" w:color="000000"/>
            </w:tcBorders>
            <w:vAlign w:val="center"/>
          </w:tcPr>
          <w:p w14:paraId="4A07F79D" w14:textId="77777777" w:rsidR="00C12C5E" w:rsidRPr="00036AC2" w:rsidRDefault="00C12C5E" w:rsidP="005970AF">
            <w:pPr>
              <w:pStyle w:val="Tablecontent"/>
            </w:pPr>
            <w:r>
              <w:t>BIFROST</w:t>
            </w:r>
          </w:p>
        </w:tc>
        <w:tc>
          <w:tcPr>
            <w:tcW w:w="1164" w:type="dxa"/>
            <w:tcBorders>
              <w:top w:val="single" w:sz="4" w:space="0" w:color="000000"/>
              <w:left w:val="single" w:sz="4" w:space="0" w:color="000000"/>
              <w:bottom w:val="single" w:sz="4" w:space="0" w:color="000000"/>
              <w:right w:val="single" w:sz="4" w:space="0" w:color="000000"/>
            </w:tcBorders>
            <w:vAlign w:val="center"/>
          </w:tcPr>
          <w:p w14:paraId="2EB32099" w14:textId="77777777" w:rsidR="00C12C5E" w:rsidRPr="00036AC2" w:rsidRDefault="00C12C5E" w:rsidP="005970AF">
            <w:pPr>
              <w:pStyle w:val="Tablecontent"/>
            </w:pPr>
            <w:r>
              <w:t>2.0 – 6.0</w:t>
            </w:r>
          </w:p>
        </w:tc>
        <w:tc>
          <w:tcPr>
            <w:tcW w:w="1204" w:type="dxa"/>
            <w:tcBorders>
              <w:top w:val="single" w:sz="4" w:space="0" w:color="000000"/>
              <w:left w:val="single" w:sz="4" w:space="0" w:color="000000"/>
              <w:bottom w:val="single" w:sz="4" w:space="0" w:color="000000"/>
              <w:right w:val="single" w:sz="4" w:space="0" w:color="000000"/>
            </w:tcBorders>
            <w:vAlign w:val="center"/>
          </w:tcPr>
          <w:p w14:paraId="28F649E7" w14:textId="77777777" w:rsidR="00C12C5E" w:rsidRDefault="00C12C5E" w:rsidP="005970AF">
            <w:pPr>
              <w:pStyle w:val="Tablecontent"/>
            </w:pPr>
            <w:r>
              <w:t>0.95</w:t>
            </w:r>
          </w:p>
        </w:tc>
        <w:tc>
          <w:tcPr>
            <w:tcW w:w="1204" w:type="dxa"/>
            <w:tcBorders>
              <w:top w:val="single" w:sz="4" w:space="0" w:color="000000"/>
              <w:left w:val="single" w:sz="4" w:space="0" w:color="000000"/>
              <w:bottom w:val="single" w:sz="4" w:space="0" w:color="000000"/>
              <w:right w:val="single" w:sz="4" w:space="0" w:color="000000"/>
            </w:tcBorders>
            <w:vAlign w:val="center"/>
          </w:tcPr>
          <w:p w14:paraId="0B7DDEDD" w14:textId="77777777" w:rsidR="00C12C5E" w:rsidRDefault="00C12C5E" w:rsidP="005970AF">
            <w:pPr>
              <w:pStyle w:val="Tablecontent"/>
            </w:pPr>
            <w:r>
              <w:t>3.0 x 3.0</w:t>
            </w:r>
          </w:p>
        </w:tc>
      </w:tr>
      <w:tr w:rsidR="00C12C5E" w:rsidRPr="00036AC2" w14:paraId="428979F8" w14:textId="77777777" w:rsidTr="005970AF">
        <w:trPr>
          <w:trHeight w:val="434"/>
          <w:jc w:val="center"/>
        </w:trPr>
        <w:tc>
          <w:tcPr>
            <w:tcW w:w="1129" w:type="dxa"/>
            <w:tcBorders>
              <w:top w:val="single" w:sz="4" w:space="0" w:color="000000"/>
              <w:left w:val="single" w:sz="4" w:space="0" w:color="000000"/>
              <w:bottom w:val="single" w:sz="4" w:space="0" w:color="000000"/>
            </w:tcBorders>
            <w:vAlign w:val="center"/>
          </w:tcPr>
          <w:p w14:paraId="5E5A30D1" w14:textId="77777777" w:rsidR="00C12C5E" w:rsidRPr="00036AC2" w:rsidRDefault="00C12C5E" w:rsidP="005970AF">
            <w:pPr>
              <w:pStyle w:val="Tablecontent"/>
            </w:pPr>
            <w:r>
              <w:t>ODIN</w:t>
            </w:r>
          </w:p>
        </w:tc>
        <w:tc>
          <w:tcPr>
            <w:tcW w:w="1164" w:type="dxa"/>
            <w:tcBorders>
              <w:top w:val="single" w:sz="4" w:space="0" w:color="000000"/>
              <w:left w:val="single" w:sz="4" w:space="0" w:color="000000"/>
              <w:bottom w:val="single" w:sz="4" w:space="0" w:color="000000"/>
              <w:right w:val="single" w:sz="4" w:space="0" w:color="000000"/>
            </w:tcBorders>
            <w:vAlign w:val="center"/>
          </w:tcPr>
          <w:p w14:paraId="450FBAA3" w14:textId="77777777" w:rsidR="00C12C5E" w:rsidRPr="00036AC2" w:rsidRDefault="00C12C5E" w:rsidP="005970AF">
            <w:pPr>
              <w:pStyle w:val="Tablecontent"/>
            </w:pPr>
            <w:r>
              <w:t>2.5 – 7.5</w:t>
            </w:r>
          </w:p>
        </w:tc>
        <w:tc>
          <w:tcPr>
            <w:tcW w:w="1204" w:type="dxa"/>
            <w:tcBorders>
              <w:top w:val="single" w:sz="4" w:space="0" w:color="000000"/>
              <w:left w:val="single" w:sz="4" w:space="0" w:color="000000"/>
              <w:bottom w:val="single" w:sz="4" w:space="0" w:color="000000"/>
              <w:right w:val="single" w:sz="4" w:space="0" w:color="000000"/>
            </w:tcBorders>
            <w:vAlign w:val="center"/>
          </w:tcPr>
          <w:p w14:paraId="0777CA99" w14:textId="77777777" w:rsidR="00C12C5E" w:rsidRDefault="00C12C5E" w:rsidP="005970AF">
            <w:pPr>
              <w:pStyle w:val="Tablecontent"/>
            </w:pPr>
            <w:r>
              <w:t>0.95</w:t>
            </w:r>
          </w:p>
        </w:tc>
        <w:tc>
          <w:tcPr>
            <w:tcW w:w="1204" w:type="dxa"/>
            <w:tcBorders>
              <w:top w:val="single" w:sz="4" w:space="0" w:color="000000"/>
              <w:left w:val="single" w:sz="4" w:space="0" w:color="000000"/>
              <w:bottom w:val="single" w:sz="4" w:space="0" w:color="000000"/>
              <w:right w:val="single" w:sz="4" w:space="0" w:color="000000"/>
            </w:tcBorders>
            <w:vAlign w:val="center"/>
          </w:tcPr>
          <w:p w14:paraId="19A3F8B8" w14:textId="77777777" w:rsidR="00C12C5E" w:rsidRPr="00EE60BA" w:rsidRDefault="00C12C5E" w:rsidP="005970AF">
            <w:pPr>
              <w:pStyle w:val="Tablecontent"/>
              <w:rPr>
                <w:vertAlign w:val="superscript"/>
              </w:rPr>
            </w:pPr>
            <w:r>
              <w:t xml:space="preserve">10.0 x 10.0 </w:t>
            </w:r>
            <w:r>
              <w:rPr>
                <w:vertAlign w:val="superscript"/>
              </w:rPr>
              <w:t>*</w:t>
            </w:r>
          </w:p>
        </w:tc>
      </w:tr>
    </w:tbl>
    <w:p w14:paraId="2F18F1BE" w14:textId="77777777" w:rsidR="00C12C5E" w:rsidRPr="00E46EB3" w:rsidRDefault="00C12C5E" w:rsidP="00C12C5E">
      <w:pPr>
        <w:pStyle w:val="Paragraph"/>
        <w:ind w:firstLine="0"/>
      </w:pPr>
    </w:p>
    <w:p w14:paraId="6AFEC6E9" w14:textId="2A3C0502" w:rsidR="00C12C5E" w:rsidRDefault="00C12C5E" w:rsidP="00C12C5E">
      <w:pPr>
        <w:pStyle w:val="Paragraph"/>
      </w:pPr>
      <w:r>
        <w:t>All the three instruments have requirements of a neutron beam with a high degree of polarization for the wavelength range where they have to operate (see third column in table 1). To work with the pre-determined beam line geometry, a transmission geometry of the polarizer is chosen as it does not change the characteristics of the beam going through the po</w:t>
      </w:r>
      <w:r w:rsidR="00754CE5">
        <w:t>larizer. The use of V-cavity geometry [17</w:t>
      </w:r>
      <w:r>
        <w:t xml:space="preserve">] </w:t>
      </w:r>
      <w:r w:rsidR="00754CE5">
        <w:t xml:space="preserve">has the advantage of providing </w:t>
      </w:r>
      <w:r>
        <w:t>beam uniformity</w:t>
      </w:r>
      <w:r w:rsidR="00836772">
        <w:t>, and in its multichannel version</w:t>
      </w:r>
      <w:r w:rsidR="00754CE5">
        <w:t xml:space="preserve"> [</w:t>
      </w:r>
      <w:r w:rsidR="00836772">
        <w:t>18</w:t>
      </w:r>
      <w:r w:rsidR="00754CE5">
        <w:t>]</w:t>
      </w:r>
      <w:r w:rsidR="00836772">
        <w:t xml:space="preserve"> it makes it more compact</w:t>
      </w:r>
      <w:r>
        <w:t xml:space="preserve">. </w:t>
      </w:r>
    </w:p>
    <w:p w14:paraId="02D7AFAD" w14:textId="67D7951E" w:rsidR="00C12C5E" w:rsidRDefault="007959E6" w:rsidP="00C12C5E">
      <w:pPr>
        <w:pStyle w:val="Paragraphfirst"/>
        <w:jc w:val="center"/>
      </w:pPr>
      <w:r>
        <w:rPr>
          <w:noProof/>
          <w:lang w:val="sv-SE" w:eastAsia="sv-SE"/>
        </w:rPr>
        <w:drawing>
          <wp:inline distT="0" distB="0" distL="0" distR="0" wp14:anchorId="548082CE" wp14:editId="368C1CBD">
            <wp:extent cx="2250831" cy="20378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1_c_rev2.png"/>
                    <pic:cNvPicPr/>
                  </pic:nvPicPr>
                  <pic:blipFill rotWithShape="1">
                    <a:blip r:embed="rId9">
                      <a:extLst>
                        <a:ext uri="{28A0092B-C50C-407E-A947-70E740481C1C}">
                          <a14:useLocalDpi xmlns:a14="http://schemas.microsoft.com/office/drawing/2010/main" val="0"/>
                        </a:ext>
                      </a:extLst>
                    </a:blip>
                    <a:srcRect l="19625" t="7954" r="38641" b="24868"/>
                    <a:stretch/>
                  </pic:blipFill>
                  <pic:spPr bwMode="auto">
                    <a:xfrm>
                      <a:off x="0" y="0"/>
                      <a:ext cx="2283013" cy="2066941"/>
                    </a:xfrm>
                    <a:prstGeom prst="rect">
                      <a:avLst/>
                    </a:prstGeom>
                    <a:ln>
                      <a:noFill/>
                    </a:ln>
                    <a:extLst>
                      <a:ext uri="{53640926-AAD7-44D8-BBD7-CCE9431645EC}">
                        <a14:shadowObscured xmlns:a14="http://schemas.microsoft.com/office/drawing/2010/main"/>
                      </a:ext>
                    </a:extLst>
                  </pic:spPr>
                </pic:pic>
              </a:graphicData>
            </a:graphic>
          </wp:inline>
        </w:drawing>
      </w:r>
    </w:p>
    <w:p w14:paraId="277B2E9B" w14:textId="7F837456" w:rsidR="00C12C5E" w:rsidRPr="00E35902" w:rsidRDefault="00C12C5E" w:rsidP="00C12C5E">
      <w:pPr>
        <w:tabs>
          <w:tab w:val="left" w:pos="4536"/>
        </w:tabs>
        <w:spacing w:before="120" w:after="120"/>
        <w:rPr>
          <w:rFonts w:ascii="Times New Roman" w:hAnsi="Times New Roman"/>
          <w:bCs/>
          <w:sz w:val="18"/>
          <w:szCs w:val="18"/>
          <w:lang w:val="en-GB"/>
        </w:rPr>
      </w:pPr>
      <w:r w:rsidRPr="00E35902">
        <w:rPr>
          <w:rFonts w:ascii="Times New Roman" w:hAnsi="Times New Roman"/>
          <w:b/>
          <w:bCs/>
          <w:sz w:val="18"/>
          <w:szCs w:val="18"/>
          <w:lang w:val="en-GB"/>
        </w:rPr>
        <w:t>Fig. 1.</w:t>
      </w:r>
      <w:r>
        <w:rPr>
          <w:rFonts w:ascii="Times New Roman" w:hAnsi="Times New Roman"/>
          <w:b/>
          <w:bCs/>
          <w:sz w:val="18"/>
          <w:szCs w:val="18"/>
          <w:lang w:val="en-GB"/>
        </w:rPr>
        <w:t xml:space="preserve"> </w:t>
      </w:r>
      <w:r>
        <w:rPr>
          <w:rFonts w:ascii="Times New Roman" w:hAnsi="Times New Roman"/>
          <w:bCs/>
          <w:sz w:val="18"/>
          <w:szCs w:val="18"/>
          <w:lang w:val="en-GB"/>
        </w:rPr>
        <w:t xml:space="preserve">Sketch of the neutron going through a supermirror polarizing cavity. For a polarizing supermirror, the incoming neutron beam is </w:t>
      </w:r>
      <w:r w:rsidR="00F07C67">
        <w:rPr>
          <w:rFonts w:ascii="Times New Roman" w:hAnsi="Times New Roman"/>
          <w:bCs/>
          <w:sz w:val="18"/>
          <w:szCs w:val="18"/>
          <w:lang w:val="en-GB"/>
        </w:rPr>
        <w:t>split into a reflected spin-up</w:t>
      </w:r>
      <w:r>
        <w:rPr>
          <w:rFonts w:ascii="Times New Roman" w:hAnsi="Times New Roman"/>
          <w:bCs/>
          <w:sz w:val="18"/>
          <w:szCs w:val="18"/>
          <w:lang w:val="en-GB"/>
        </w:rPr>
        <w:t xml:space="preserve"> (polarized parallel to the applied saturated magnetic </w:t>
      </w:r>
      <w:r w:rsidR="00F07C67">
        <w:rPr>
          <w:rFonts w:ascii="Times New Roman" w:hAnsi="Times New Roman"/>
          <w:bCs/>
          <w:sz w:val="18"/>
          <w:szCs w:val="18"/>
          <w:lang w:val="en-GB"/>
        </w:rPr>
        <w:t>field) and a transmitted spin-down</w:t>
      </w:r>
      <w:r>
        <w:rPr>
          <w:rFonts w:ascii="Times New Roman" w:hAnsi="Times New Roman"/>
          <w:bCs/>
          <w:sz w:val="18"/>
          <w:szCs w:val="18"/>
          <w:lang w:val="en-GB"/>
        </w:rPr>
        <w:t xml:space="preserve"> beam (polarized anti-parallel to the applied saturated magnetic field) spin state. </w:t>
      </w:r>
    </w:p>
    <w:p w14:paraId="3940809F" w14:textId="77F4A61A" w:rsidR="00330D72" w:rsidRDefault="00C12C5E" w:rsidP="00C12C5E">
      <w:pPr>
        <w:pStyle w:val="Paragraphfirst"/>
      </w:pPr>
      <w:r>
        <w:t xml:space="preserve">Fig. 1 shows the schematics on how the polarizing cavity works. The neutrons with the correct spin state will go through the mirror with the divergence distribution unchanged while the ones with the wrong spin state will be reflected with a higher divergence. In the case of the reflected beam we have two cases. In the case where the polarizer is placed within the guide system, the reflected beam’s angle is higher and will </w:t>
      </w:r>
      <w:r w:rsidR="00836772">
        <w:t xml:space="preserve">be absorbed by the guide system, especially in its focusing section, </w:t>
      </w:r>
      <w:r>
        <w:t>until certain wavelength</w:t>
      </w:r>
      <w:r w:rsidR="00D90600">
        <w:t xml:space="preserve">, where the critical angle is high enough to allow </w:t>
      </w:r>
      <w:r w:rsidR="00A217CC">
        <w:t xml:space="preserve">more </w:t>
      </w:r>
      <w:r w:rsidR="00F85BFF">
        <w:t>divergent beams to be transported</w:t>
      </w:r>
      <w:r w:rsidR="00D90600">
        <w:t>.</w:t>
      </w:r>
      <w:r w:rsidR="00EA11FD">
        <w:t xml:space="preserve"> Of course, multiple reflections within the polarizer also means that the surviving beam will be even more divergent, and therefore, its transport through the guide system will take place at even higher wavelengths.</w:t>
      </w:r>
      <w:r w:rsidR="00D90600">
        <w:t xml:space="preserve"> </w:t>
      </w:r>
      <w:r w:rsidR="00EA11FD">
        <w:t>Furthermore, as the reflectivity for spin down</w:t>
      </w:r>
      <w:r w:rsidR="00A217CC">
        <w:t xml:space="preserve"> (</w:t>
      </w:r>
      <w:proofErr w:type="spellStart"/>
      <w:r w:rsidR="00A217CC">
        <w:t>i</w:t>
      </w:r>
      <w:proofErr w:type="spellEnd"/>
      <w:r w:rsidR="00A217CC">
        <w:t>. e., the wrong spin state)</w:t>
      </w:r>
      <w:r w:rsidR="00EA11FD">
        <w:t xml:space="preserve"> has </w:t>
      </w:r>
      <w:r w:rsidR="00EA11FD">
        <w:rPr>
          <w:i/>
        </w:rPr>
        <w:t xml:space="preserve">m </w:t>
      </w:r>
      <w:r w:rsidR="00EA11FD">
        <w:t>&lt; 1,</w:t>
      </w:r>
      <w:r w:rsidR="00EA11FD">
        <w:rPr>
          <w:i/>
        </w:rPr>
        <w:t xml:space="preserve"> </w:t>
      </w:r>
      <w:r w:rsidR="00EA11FD">
        <w:t xml:space="preserve">there will be a cut-off wavelength where total reflection of the beam in the cavity will take place [19]. </w:t>
      </w:r>
      <w:r w:rsidR="00D90600">
        <w:t>We have checked that in</w:t>
      </w:r>
      <w:r>
        <w:t xml:space="preserve"> the case of MIRACLES and BIFROST </w:t>
      </w:r>
      <w:r w:rsidR="0083658F">
        <w:t xml:space="preserve">(which have long focusing sections of more than 10 m long) </w:t>
      </w:r>
      <w:r>
        <w:t>for the wavelengths they have to operate (table 1, third column)</w:t>
      </w:r>
      <w:r w:rsidR="00D90600">
        <w:t xml:space="preserve"> only the beam with the correct spin state reaches the sample</w:t>
      </w:r>
      <w:r w:rsidR="00EA11FD">
        <w:t xml:space="preserve"> position</w:t>
      </w:r>
      <w:r>
        <w:t>. In the case of ODIN, where the polarizer will be placed in the cave</w:t>
      </w:r>
      <w:r w:rsidR="00815496">
        <w:t xml:space="preserve"> (see below, fig. 12)</w:t>
      </w:r>
      <w:r>
        <w:t>, both contributions will be separated when arriving to the sample, and therefore, the</w:t>
      </w:r>
      <w:r w:rsidR="00815496">
        <w:t>re is enough space to shield the</w:t>
      </w:r>
      <w:r>
        <w:t xml:space="preserve"> beam</w:t>
      </w:r>
      <w:r w:rsidR="00815496">
        <w:t xml:space="preserve"> with wrong spin state</w:t>
      </w:r>
      <w:r>
        <w:t>.</w:t>
      </w:r>
    </w:p>
    <w:p w14:paraId="536C4BA2" w14:textId="7008FDC3" w:rsidR="005F796D" w:rsidRDefault="00330D72" w:rsidP="005F796D">
      <w:pPr>
        <w:pStyle w:val="Paragraphfirst"/>
      </w:pPr>
      <w:r>
        <w:tab/>
      </w:r>
      <w:proofErr w:type="spellStart"/>
      <w:r w:rsidR="00F511B8">
        <w:t>McStas</w:t>
      </w:r>
      <w:proofErr w:type="spellEnd"/>
      <w:r w:rsidR="00F511B8">
        <w:t xml:space="preserve"> code has been extensively used for the design of many instruments in different facilities around the world and it has been the preferred choice of software for the teams building the studied instruments. The simulation files of the instrument guide systems </w:t>
      </w:r>
      <w:r w:rsidR="00747B6F">
        <w:t>have been provided by the instrument teams</w:t>
      </w:r>
      <w:r w:rsidR="0067716C">
        <w:t xml:space="preserve"> and i</w:t>
      </w:r>
      <w:r w:rsidR="000C7E58">
        <w:t>s the basis to add the</w:t>
      </w:r>
      <w:r w:rsidR="0067716C">
        <w:t xml:space="preserve"> polarizers</w:t>
      </w:r>
      <w:r w:rsidR="000C7E58">
        <w:t xml:space="preserve"> in the instrument files</w:t>
      </w:r>
      <w:r w:rsidR="0067716C">
        <w:t xml:space="preserve">. </w:t>
      </w:r>
    </w:p>
    <w:p w14:paraId="216C160F" w14:textId="38AAE40F" w:rsidR="00CA0727" w:rsidRDefault="009E480D" w:rsidP="0067716C">
      <w:pPr>
        <w:pStyle w:val="Paragraph"/>
        <w:rPr>
          <w:color w:val="000000" w:themeColor="text1"/>
        </w:rPr>
      </w:pPr>
      <w:r>
        <w:t xml:space="preserve">In these simulations we used the </w:t>
      </w:r>
      <w:proofErr w:type="spellStart"/>
      <w:r>
        <w:t>McStas</w:t>
      </w:r>
      <w:proofErr w:type="spellEnd"/>
      <w:r>
        <w:t xml:space="preserve"> 2.7.1 version and two components had to be modified in order to perform this study. First, the polarizing cavity component available for </w:t>
      </w:r>
      <w:proofErr w:type="spellStart"/>
      <w:r>
        <w:t>McStas</w:t>
      </w:r>
      <w:proofErr w:type="spellEnd"/>
      <w:r>
        <w:t xml:space="preserve"> </w:t>
      </w:r>
      <w:r w:rsidR="00747B6F">
        <w:t>(</w:t>
      </w:r>
      <w:proofErr w:type="spellStart"/>
      <w:r w:rsidR="00747B6F" w:rsidRPr="0028322D">
        <w:rPr>
          <w:i/>
        </w:rPr>
        <w:t>Pol_guide_vmirror</w:t>
      </w:r>
      <w:proofErr w:type="spellEnd"/>
      <w:r w:rsidR="00747B6F">
        <w:t xml:space="preserve">) </w:t>
      </w:r>
      <w:r>
        <w:t>was modified in order to allow multiple cavity channels.</w:t>
      </w:r>
      <w:r w:rsidR="0028322D">
        <w:t xml:space="preserve"> A new parameter has been added to specify the number of channels of the </w:t>
      </w:r>
      <w:r w:rsidR="00C12C5E">
        <w:t>polarizer. This modification</w:t>
      </w:r>
      <w:r w:rsidR="0028322D">
        <w:t xml:space="preserve"> has been </w:t>
      </w:r>
      <w:r w:rsidR="0028322D">
        <w:lastRenderedPageBreak/>
        <w:t>included in the following version (</w:t>
      </w:r>
      <w:proofErr w:type="spellStart"/>
      <w:r w:rsidR="0028322D">
        <w:t>McStas</w:t>
      </w:r>
      <w:proofErr w:type="spellEnd"/>
      <w:r w:rsidR="0028322D">
        <w:t xml:space="preserve"> 2.7.2).</w:t>
      </w:r>
      <w:r>
        <w:t xml:space="preserve"> The second modification was the development of the component to obtain polarization maps</w:t>
      </w:r>
      <w:r w:rsidR="00747B6F">
        <w:t xml:space="preserve"> (</w:t>
      </w:r>
      <w:proofErr w:type="spellStart"/>
      <w:r w:rsidR="00747B6F" w:rsidRPr="0028322D">
        <w:rPr>
          <w:i/>
        </w:rPr>
        <w:t>PSD_pol_monitor</w:t>
      </w:r>
      <w:proofErr w:type="spellEnd"/>
      <w:r w:rsidR="00747B6F">
        <w:t>)</w:t>
      </w:r>
      <w:r>
        <w:t>, which was not</w:t>
      </w:r>
      <w:r w:rsidR="0028322D">
        <w:t xml:space="preserve"> available in the </w:t>
      </w:r>
      <w:proofErr w:type="spellStart"/>
      <w:r w:rsidR="0028322D">
        <w:t>McStas</w:t>
      </w:r>
      <w:proofErr w:type="spellEnd"/>
      <w:r w:rsidR="0028322D">
        <w:t xml:space="preserve"> and has been developed by one of the co-authors (Alex Backs)</w:t>
      </w:r>
      <w:r>
        <w:t xml:space="preserve">. </w:t>
      </w:r>
      <w:r w:rsidR="0028322D">
        <w:t>This component has not been included yet, but there are plans to do it in the near future</w:t>
      </w:r>
      <w:r w:rsidR="00CA0727">
        <w:rPr>
          <w:color w:val="000000" w:themeColor="text1"/>
        </w:rPr>
        <w:t>.</w:t>
      </w:r>
    </w:p>
    <w:p w14:paraId="0EFBE204" w14:textId="79202352" w:rsidR="00832157" w:rsidRDefault="00832157" w:rsidP="0067716C">
      <w:pPr>
        <w:pStyle w:val="Paragraph"/>
        <w:rPr>
          <w:color w:val="000000" w:themeColor="text1"/>
        </w:rPr>
      </w:pPr>
      <w:r>
        <w:rPr>
          <w:color w:val="000000" w:themeColor="text1"/>
        </w:rPr>
        <w:t xml:space="preserve">First of all, the V-cavities are constructed with Si blades which are coated from both sides. This is done to improve the polarization and to compensate the internal stresses of the wafers. </w:t>
      </w:r>
      <w:r w:rsidR="00460095">
        <w:rPr>
          <w:color w:val="000000" w:themeColor="text1"/>
        </w:rPr>
        <w:t xml:space="preserve">Therefore, </w:t>
      </w:r>
      <w:r w:rsidR="00201782">
        <w:rPr>
          <w:color w:val="000000" w:themeColor="text1"/>
        </w:rPr>
        <w:t xml:space="preserve">as an initial approximation we will use the reflectivity curve of a double mirror in the simulation, </w:t>
      </w:r>
      <w:proofErr w:type="spellStart"/>
      <w:r w:rsidR="00201782">
        <w:rPr>
          <w:color w:val="000000" w:themeColor="text1"/>
        </w:rPr>
        <w:t>i</w:t>
      </w:r>
      <w:proofErr w:type="spellEnd"/>
      <w:r w:rsidR="00201782">
        <w:rPr>
          <w:color w:val="000000" w:themeColor="text1"/>
        </w:rPr>
        <w:t xml:space="preserve">. e., the reflectivity of the neutron going through two single reflective surfaces with the same layer sequence. This may not be accurate, but as a first approximation it will fulfil the aim of the study to find trends </w:t>
      </w:r>
      <w:r w:rsidR="00CE5897">
        <w:rPr>
          <w:color w:val="000000" w:themeColor="text1"/>
        </w:rPr>
        <w:t>of different parameters</w:t>
      </w:r>
      <w:r w:rsidR="00201782">
        <w:rPr>
          <w:color w:val="000000" w:themeColor="text1"/>
        </w:rPr>
        <w:t xml:space="preserve"> a</w:t>
      </w:r>
      <w:r w:rsidR="00CE5897">
        <w:rPr>
          <w:color w:val="000000" w:themeColor="text1"/>
        </w:rPr>
        <w:t>nd choose the optimal ones</w:t>
      </w:r>
      <w:r w:rsidR="00201782">
        <w:rPr>
          <w:color w:val="000000" w:themeColor="text1"/>
        </w:rPr>
        <w:t xml:space="preserve"> for the polarizers. </w:t>
      </w:r>
    </w:p>
    <w:p w14:paraId="304AD228" w14:textId="515ADF43" w:rsidR="00982BCD" w:rsidRDefault="000F69FF" w:rsidP="0067716C">
      <w:pPr>
        <w:pStyle w:val="Paragraph"/>
        <w:rPr>
          <w:color w:val="000000" w:themeColor="text1"/>
        </w:rPr>
      </w:pPr>
      <w:r>
        <w:rPr>
          <w:color w:val="000000" w:themeColor="text1"/>
        </w:rPr>
        <w:t xml:space="preserve">It is important to consider that the </w:t>
      </w:r>
      <w:proofErr w:type="spellStart"/>
      <w:r w:rsidRPr="000F69FF">
        <w:rPr>
          <w:i/>
          <w:color w:val="000000" w:themeColor="text1"/>
        </w:rPr>
        <w:t>Pol_guide_vmirror</w:t>
      </w:r>
      <w:proofErr w:type="spellEnd"/>
      <w:r>
        <w:rPr>
          <w:color w:val="000000" w:themeColor="text1"/>
        </w:rPr>
        <w:t xml:space="preserve"> component has an important limitation. Polarizing mirrors and cavities are sputtered over a Si waf</w:t>
      </w:r>
      <w:r w:rsidR="00982BCD">
        <w:rPr>
          <w:color w:val="000000" w:themeColor="text1"/>
        </w:rPr>
        <w:t>er with a thickness of around 300</w:t>
      </w:r>
      <w:r>
        <w:rPr>
          <w:color w:val="000000" w:themeColor="text1"/>
        </w:rPr>
        <w:t xml:space="preserve"> </w:t>
      </w:r>
      <w:proofErr w:type="spellStart"/>
      <w:r>
        <w:rPr>
          <w:rFonts w:cs="Times"/>
          <w:color w:val="000000" w:themeColor="text1"/>
        </w:rPr>
        <w:t>μ</w:t>
      </w:r>
      <w:r>
        <w:rPr>
          <w:color w:val="000000" w:themeColor="text1"/>
        </w:rPr>
        <w:t>m</w:t>
      </w:r>
      <w:proofErr w:type="spellEnd"/>
      <w:r>
        <w:rPr>
          <w:color w:val="000000" w:themeColor="text1"/>
        </w:rPr>
        <w:t xml:space="preserve">. The Si wafer will have some absorption that can be quantified but it is not taken into account in the component. </w:t>
      </w:r>
      <w:r w:rsidR="00A96C57">
        <w:rPr>
          <w:color w:val="000000" w:themeColor="text1"/>
        </w:rPr>
        <w:t>It is possible to calculate the contribution of the absorpti</w:t>
      </w:r>
      <w:r w:rsidR="00EA11FD">
        <w:rPr>
          <w:color w:val="000000" w:themeColor="text1"/>
        </w:rPr>
        <w:t>on using different resources [20</w:t>
      </w:r>
      <w:r w:rsidR="00A96C57">
        <w:rPr>
          <w:color w:val="000000" w:themeColor="text1"/>
        </w:rPr>
        <w:t>-</w:t>
      </w:r>
      <w:r w:rsidR="00EA11FD">
        <w:rPr>
          <w:color w:val="000000" w:themeColor="text1"/>
        </w:rPr>
        <w:t>22</w:t>
      </w:r>
      <w:r w:rsidR="00A96C57">
        <w:rPr>
          <w:color w:val="000000" w:themeColor="text1"/>
        </w:rPr>
        <w:t>]</w:t>
      </w:r>
      <w:r w:rsidR="00347928">
        <w:rPr>
          <w:color w:val="000000" w:themeColor="text1"/>
        </w:rPr>
        <w:t xml:space="preserve"> and Fig. 2</w:t>
      </w:r>
      <w:r w:rsidR="00AB011A">
        <w:rPr>
          <w:color w:val="000000" w:themeColor="text1"/>
        </w:rPr>
        <w:t xml:space="preserve"> shows the dependence of the penetration depth of the Si (the thickness needed to attenuate the incoming intensity by</w:t>
      </w:r>
      <w:r w:rsidR="00982BCD">
        <w:rPr>
          <w:color w:val="000000" w:themeColor="text1"/>
        </w:rPr>
        <w:t xml:space="preserve"> a factor</w:t>
      </w:r>
      <w:r w:rsidR="00AB011A">
        <w:rPr>
          <w:color w:val="000000" w:themeColor="text1"/>
        </w:rPr>
        <w:t xml:space="preserve"> 1/e) as a function of the neutron wavelength.</w:t>
      </w:r>
    </w:p>
    <w:p w14:paraId="05879122" w14:textId="005BC875" w:rsidR="000F69FF" w:rsidRDefault="00982BCD" w:rsidP="00982BCD">
      <w:pPr>
        <w:pStyle w:val="Paragraph"/>
        <w:ind w:firstLine="0"/>
        <w:jc w:val="center"/>
        <w:rPr>
          <w:color w:val="000000" w:themeColor="text1"/>
        </w:rPr>
      </w:pPr>
      <w:r>
        <w:rPr>
          <w:noProof/>
          <w:color w:val="000000" w:themeColor="text1"/>
          <w:lang w:val="sv-SE" w:eastAsia="sv-SE"/>
        </w:rPr>
        <w:drawing>
          <wp:inline distT="0" distB="0" distL="0" distR="0" wp14:anchorId="5C25EB8C" wp14:editId="1670BB6C">
            <wp:extent cx="3003456" cy="2208628"/>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_rev2.png"/>
                    <pic:cNvPicPr/>
                  </pic:nvPicPr>
                  <pic:blipFill rotWithShape="1">
                    <a:blip r:embed="rId10">
                      <a:extLst>
                        <a:ext uri="{28A0092B-C50C-407E-A947-70E740481C1C}">
                          <a14:useLocalDpi xmlns:a14="http://schemas.microsoft.com/office/drawing/2010/main" val="0"/>
                        </a:ext>
                      </a:extLst>
                    </a:blip>
                    <a:srcRect t="9607" r="7814"/>
                    <a:stretch/>
                  </pic:blipFill>
                  <pic:spPr bwMode="auto">
                    <a:xfrm>
                      <a:off x="0" y="0"/>
                      <a:ext cx="3026971" cy="2225920"/>
                    </a:xfrm>
                    <a:prstGeom prst="rect">
                      <a:avLst/>
                    </a:prstGeom>
                    <a:ln>
                      <a:noFill/>
                    </a:ln>
                    <a:extLst>
                      <a:ext uri="{53640926-AAD7-44D8-BBD7-CCE9431645EC}">
                        <a14:shadowObscured xmlns:a14="http://schemas.microsoft.com/office/drawing/2010/main"/>
                      </a:ext>
                    </a:extLst>
                  </pic:spPr>
                </pic:pic>
              </a:graphicData>
            </a:graphic>
          </wp:inline>
        </w:drawing>
      </w:r>
    </w:p>
    <w:p w14:paraId="46CDB047" w14:textId="6954C83C" w:rsidR="00AB011A" w:rsidRPr="00E35902" w:rsidRDefault="00982BCD" w:rsidP="00AB011A">
      <w:pPr>
        <w:tabs>
          <w:tab w:val="left" w:pos="4536"/>
        </w:tabs>
        <w:spacing w:before="120" w:after="120"/>
        <w:rPr>
          <w:rFonts w:ascii="Times New Roman" w:hAnsi="Times New Roman"/>
          <w:bCs/>
          <w:sz w:val="18"/>
          <w:szCs w:val="18"/>
          <w:lang w:val="en-GB"/>
        </w:rPr>
      </w:pPr>
      <w:r>
        <w:rPr>
          <w:rFonts w:ascii="Times New Roman" w:hAnsi="Times New Roman"/>
          <w:b/>
          <w:bCs/>
          <w:sz w:val="18"/>
          <w:szCs w:val="18"/>
          <w:lang w:val="en-GB"/>
        </w:rPr>
        <w:t>Fig. 2</w:t>
      </w:r>
      <w:r w:rsidR="00AB011A" w:rsidRPr="00E35902">
        <w:rPr>
          <w:rFonts w:ascii="Times New Roman" w:hAnsi="Times New Roman"/>
          <w:b/>
          <w:bCs/>
          <w:sz w:val="18"/>
          <w:szCs w:val="18"/>
          <w:lang w:val="en-GB"/>
        </w:rPr>
        <w:t>.</w:t>
      </w:r>
      <w:r w:rsidR="00AB011A">
        <w:rPr>
          <w:rFonts w:ascii="Times New Roman" w:hAnsi="Times New Roman"/>
          <w:b/>
          <w:bCs/>
          <w:sz w:val="18"/>
          <w:szCs w:val="18"/>
          <w:lang w:val="en-GB"/>
        </w:rPr>
        <w:t xml:space="preserve"> </w:t>
      </w:r>
      <w:r w:rsidR="00AB011A">
        <w:rPr>
          <w:rFonts w:ascii="Times New Roman" w:hAnsi="Times New Roman"/>
          <w:bCs/>
          <w:sz w:val="18"/>
          <w:szCs w:val="18"/>
          <w:lang w:val="en-GB"/>
        </w:rPr>
        <w:t xml:space="preserve">Penetration depth </w:t>
      </w:r>
      <w:r w:rsidR="00CC6E42">
        <w:rPr>
          <w:rFonts w:ascii="Times New Roman" w:hAnsi="Times New Roman"/>
          <w:bCs/>
          <w:sz w:val="18"/>
          <w:szCs w:val="18"/>
          <w:lang w:val="en-GB"/>
        </w:rPr>
        <w:t>(</w:t>
      </w:r>
      <w:r w:rsidR="00CC6E42">
        <w:rPr>
          <w:rFonts w:ascii="Times New Roman" w:hAnsi="Times New Roman" w:cs="Times New Roman"/>
          <w:bCs/>
          <w:sz w:val="18"/>
          <w:szCs w:val="18"/>
          <w:lang w:val="en-GB"/>
        </w:rPr>
        <w:t>μ</w:t>
      </w:r>
      <w:r w:rsidR="00CC6E42">
        <w:rPr>
          <w:rFonts w:ascii="Times New Roman" w:hAnsi="Times New Roman"/>
          <w:bCs/>
          <w:sz w:val="18"/>
          <w:szCs w:val="18"/>
          <w:lang w:val="en-GB"/>
        </w:rPr>
        <w:t xml:space="preserve">) </w:t>
      </w:r>
      <w:r w:rsidR="00AB011A">
        <w:rPr>
          <w:rFonts w:ascii="Times New Roman" w:hAnsi="Times New Roman"/>
          <w:bCs/>
          <w:sz w:val="18"/>
          <w:szCs w:val="18"/>
          <w:lang w:val="en-GB"/>
        </w:rPr>
        <w:t>of the Si as a function of the incoming neutron wavelength.</w:t>
      </w:r>
    </w:p>
    <w:p w14:paraId="1EE9B76E" w14:textId="77777777" w:rsidR="00347928" w:rsidRDefault="00AB011A" w:rsidP="00CC6E42">
      <w:pPr>
        <w:pStyle w:val="Paragraph"/>
        <w:rPr>
          <w:color w:val="000000" w:themeColor="text1"/>
        </w:rPr>
      </w:pPr>
      <w:r>
        <w:rPr>
          <w:color w:val="000000" w:themeColor="text1"/>
        </w:rPr>
        <w:t xml:space="preserve">In this way, we can roughly estimate the absorption of the </w:t>
      </w:r>
      <w:r w:rsidR="00CC6E42">
        <w:rPr>
          <w:color w:val="000000" w:themeColor="text1"/>
        </w:rPr>
        <w:t xml:space="preserve">Si wafer. </w:t>
      </w:r>
    </w:p>
    <w:p w14:paraId="643DD26A" w14:textId="64F37399" w:rsidR="00CC6E42" w:rsidRDefault="00347928" w:rsidP="00CC6E42">
      <w:pPr>
        <w:pStyle w:val="Paragraph"/>
        <w:rPr>
          <w:color w:val="000000" w:themeColor="text1"/>
        </w:rPr>
      </w:pPr>
      <w:r>
        <w:rPr>
          <w:color w:val="000000" w:themeColor="text1"/>
        </w:rPr>
        <w:t xml:space="preserve">The transmission </w:t>
      </w:r>
      <w:r w:rsidRPr="00347928">
        <w:rPr>
          <w:i/>
          <w:color w:val="000000" w:themeColor="text1"/>
        </w:rPr>
        <w:t>T</w:t>
      </w:r>
      <w:r>
        <w:rPr>
          <w:i/>
          <w:color w:val="000000" w:themeColor="text1"/>
        </w:rPr>
        <w:t xml:space="preserve"> </w:t>
      </w:r>
      <w:r>
        <w:rPr>
          <w:color w:val="000000" w:themeColor="text1"/>
        </w:rPr>
        <w:t xml:space="preserve">will be calculated as the ratio between the intensity of the beam at the sample position and area (defined in table 1, fourth column) with the polarizer and without the polarizer. </w:t>
      </w:r>
      <w:r w:rsidR="00CC6E42" w:rsidRPr="00347928">
        <w:rPr>
          <w:color w:val="000000" w:themeColor="text1"/>
        </w:rPr>
        <w:t>Assuming</w:t>
      </w:r>
      <w:r w:rsidR="00CC6E42">
        <w:rPr>
          <w:color w:val="000000" w:themeColor="text1"/>
        </w:rPr>
        <w:t xml:space="preserve"> that the incoming neutron beam has no divergence, the corrected transmission can be calculated as: </w:t>
      </w:r>
    </w:p>
    <w:p w14:paraId="17CCEC4E" w14:textId="707C3FF0" w:rsidR="00CC6E42" w:rsidRPr="00F7426B" w:rsidRDefault="00CC6E42" w:rsidP="00CC6E42">
      <w:pPr>
        <w:jc w:val="center"/>
        <w:rPr>
          <w:rFonts w:ascii="Times" w:hAnsi="Times"/>
          <w:sz w:val="18"/>
          <w:vertAlign w:val="subscript"/>
        </w:rPr>
      </w:pPr>
      <w:r w:rsidRPr="00365ED8">
        <w:rPr>
          <w:rFonts w:ascii="Times" w:hAnsi="Times"/>
          <w:i/>
          <w:iCs/>
          <w:sz w:val="20"/>
          <w:lang w:val="en-US"/>
        </w:rPr>
        <w:t xml:space="preserve">               </w:t>
      </w:r>
      <w:proofErr w:type="spellStart"/>
      <w:r w:rsidRPr="005E0047">
        <w:rPr>
          <w:rFonts w:ascii="Times" w:hAnsi="Times"/>
          <w:i/>
          <w:iCs/>
          <w:sz w:val="20"/>
        </w:rPr>
        <w:t>T</w:t>
      </w:r>
      <w:r w:rsidRPr="005E0047">
        <w:rPr>
          <w:rFonts w:ascii="Times" w:hAnsi="Times"/>
          <w:i/>
          <w:iCs/>
          <w:sz w:val="20"/>
          <w:vertAlign w:val="subscript"/>
        </w:rPr>
        <w:t>corr</w:t>
      </w:r>
      <w:proofErr w:type="spellEnd"/>
      <w:r w:rsidRPr="005E0047">
        <w:rPr>
          <w:rFonts w:ascii="Times" w:hAnsi="Times"/>
          <w:i/>
          <w:iCs/>
          <w:sz w:val="20"/>
        </w:rPr>
        <w:t xml:space="preserve"> = T</w:t>
      </w:r>
      <w:r w:rsidR="00480412" w:rsidRPr="005E0047">
        <w:rPr>
          <w:rFonts w:ascii="Times" w:hAnsi="Times"/>
          <w:i/>
          <w:iCs/>
          <w:sz w:val="20"/>
        </w:rPr>
        <w:t xml:space="preserve"> </w:t>
      </w:r>
      <w:proofErr w:type="spellStart"/>
      <w:r w:rsidR="00480412" w:rsidRPr="005E0047">
        <w:rPr>
          <w:rFonts w:ascii="Times" w:hAnsi="Times"/>
          <w:i/>
          <w:iCs/>
          <w:sz w:val="20"/>
        </w:rPr>
        <w:t>exp</w:t>
      </w:r>
      <w:proofErr w:type="spellEnd"/>
      <w:r w:rsidR="00480412" w:rsidRPr="005E0047">
        <w:rPr>
          <w:rFonts w:ascii="Times" w:hAnsi="Times"/>
          <w:i/>
          <w:iCs/>
          <w:sz w:val="20"/>
        </w:rPr>
        <w:t>(-</w:t>
      </w:r>
      <w:r w:rsidR="005E0047" w:rsidRPr="005E0047">
        <w:rPr>
          <w:rFonts w:ascii="Times" w:hAnsi="Times"/>
          <w:i/>
          <w:iCs/>
          <w:sz w:val="20"/>
        </w:rPr>
        <w:t>t /</w:t>
      </w:r>
      <w:r w:rsidR="005E0047">
        <w:rPr>
          <w:rFonts w:ascii="Times" w:hAnsi="Times"/>
          <w:i/>
          <w:iCs/>
          <w:sz w:val="20"/>
        </w:rPr>
        <w:t>(</w:t>
      </w:r>
      <w:r w:rsidR="005E0047" w:rsidRPr="005E0047">
        <w:rPr>
          <w:rFonts w:ascii="Times" w:hAnsi="Times" w:cs="Times"/>
          <w:i/>
          <w:iCs/>
          <w:sz w:val="20"/>
        </w:rPr>
        <w:t xml:space="preserve"> </w:t>
      </w:r>
      <w:r w:rsidR="005E0047">
        <w:rPr>
          <w:rFonts w:ascii="Times" w:hAnsi="Times" w:cs="Times"/>
          <w:i/>
          <w:iCs/>
          <w:sz w:val="20"/>
          <w:lang w:val="sv-SE"/>
        </w:rPr>
        <w:t>μ</w:t>
      </w:r>
      <w:r w:rsidR="00480412" w:rsidRPr="005E0047">
        <w:rPr>
          <w:rFonts w:ascii="Times" w:hAnsi="Times"/>
          <w:i/>
          <w:iCs/>
          <w:sz w:val="20"/>
        </w:rPr>
        <w:t xml:space="preserve"> </w:t>
      </w:r>
      <w:r w:rsidR="00F13072">
        <w:rPr>
          <w:rFonts w:ascii="Times" w:hAnsi="Times"/>
          <w:iCs/>
          <w:sz w:val="20"/>
        </w:rPr>
        <w:t>sin</w:t>
      </w:r>
      <w:r w:rsidR="005E0047">
        <w:rPr>
          <w:rFonts w:ascii="Times" w:hAnsi="Times"/>
          <w:iCs/>
          <w:sz w:val="20"/>
        </w:rPr>
        <w:t xml:space="preserve"> </w:t>
      </w:r>
      <w:r w:rsidR="00480412">
        <w:rPr>
          <w:rFonts w:ascii="Times" w:hAnsi="Times" w:cs="Times"/>
          <w:i/>
          <w:iCs/>
          <w:sz w:val="20"/>
          <w:lang w:val="sv-SE"/>
        </w:rPr>
        <w:t>θ</w:t>
      </w:r>
      <w:proofErr w:type="spellStart"/>
      <w:r w:rsidR="00480412" w:rsidRPr="005E0047">
        <w:rPr>
          <w:rFonts w:ascii="Times" w:hAnsi="Times"/>
          <w:i/>
          <w:iCs/>
          <w:sz w:val="20"/>
          <w:vertAlign w:val="subscript"/>
        </w:rPr>
        <w:t>blade</w:t>
      </w:r>
      <w:proofErr w:type="spellEnd"/>
      <w:r w:rsidR="005E0047">
        <w:rPr>
          <w:rFonts w:ascii="Times" w:hAnsi="Times"/>
          <w:i/>
          <w:iCs/>
          <w:sz w:val="20"/>
        </w:rPr>
        <w:t>)</w:t>
      </w:r>
      <w:r w:rsidR="00480412" w:rsidRPr="005E0047">
        <w:rPr>
          <w:rFonts w:ascii="Times" w:hAnsi="Times"/>
          <w:i/>
          <w:iCs/>
          <w:sz w:val="20"/>
        </w:rPr>
        <w:t>)</w:t>
      </w:r>
      <w:r w:rsidRPr="00F7426B">
        <w:rPr>
          <w:rFonts w:ascii="Times" w:hAnsi="Times"/>
          <w:sz w:val="18"/>
          <w:vertAlign w:val="subscript"/>
        </w:rPr>
        <w:tab/>
        <w:t xml:space="preserve">               (1)</w:t>
      </w:r>
    </w:p>
    <w:p w14:paraId="76C87461" w14:textId="5C0DEF71" w:rsidR="00CC6E42" w:rsidRDefault="00480412" w:rsidP="00CC6E42">
      <w:pPr>
        <w:pStyle w:val="Paragraph"/>
        <w:rPr>
          <w:color w:val="000000" w:themeColor="text1"/>
          <w:lang w:val="en-US"/>
        </w:rPr>
      </w:pPr>
      <w:r w:rsidRPr="000A26A3">
        <w:rPr>
          <w:color w:val="000000" w:themeColor="text1"/>
          <w:lang w:val="en-US"/>
        </w:rPr>
        <w:t xml:space="preserve">where </w:t>
      </w:r>
      <w:proofErr w:type="spellStart"/>
      <w:r w:rsidRPr="000A26A3">
        <w:rPr>
          <w:i/>
          <w:color w:val="000000" w:themeColor="text1"/>
          <w:lang w:val="en-US"/>
        </w:rPr>
        <w:t>t</w:t>
      </w:r>
      <w:proofErr w:type="spellEnd"/>
      <w:r w:rsidRPr="000A26A3">
        <w:rPr>
          <w:color w:val="000000" w:themeColor="text1"/>
          <w:lang w:val="en-US"/>
        </w:rPr>
        <w:t xml:space="preserve"> is the substrate thickness and </w:t>
      </w:r>
      <w:r>
        <w:rPr>
          <w:rFonts w:cs="Times"/>
          <w:i/>
          <w:color w:val="000000" w:themeColor="text1"/>
          <w:lang w:val="fr-FR"/>
        </w:rPr>
        <w:t>θ</w:t>
      </w:r>
      <w:r w:rsidRPr="000A26A3">
        <w:rPr>
          <w:i/>
          <w:color w:val="000000" w:themeColor="text1"/>
          <w:vertAlign w:val="subscript"/>
          <w:lang w:val="en-US"/>
        </w:rPr>
        <w:t>blade</w:t>
      </w:r>
      <w:r w:rsidRPr="000A26A3">
        <w:rPr>
          <w:i/>
          <w:color w:val="000000" w:themeColor="text1"/>
          <w:lang w:val="en-US"/>
        </w:rPr>
        <w:t xml:space="preserve"> </w:t>
      </w:r>
      <w:r w:rsidRPr="000A26A3">
        <w:rPr>
          <w:color w:val="000000" w:themeColor="text1"/>
          <w:lang w:val="en-US"/>
        </w:rPr>
        <w:t xml:space="preserve">is the angle of the polarizing cavity blade. </w:t>
      </w:r>
      <w:r w:rsidR="00CE5897">
        <w:rPr>
          <w:color w:val="000000" w:themeColor="text1"/>
          <w:lang w:val="en-US"/>
        </w:rPr>
        <w:t xml:space="preserve">The assumption made to derive the equation is more accurate in the case of a low divergence beam at the polarizer as the differences in thickness are low. This is not happening </w:t>
      </w:r>
      <w:r w:rsidR="00CE5897">
        <w:rPr>
          <w:color w:val="000000" w:themeColor="text1"/>
          <w:lang w:val="en-US"/>
        </w:rPr>
        <w:t xml:space="preserve">for higher divergences, but it will give an initial approximation on the effect of absorption. </w:t>
      </w:r>
    </w:p>
    <w:p w14:paraId="1DA7B2E5" w14:textId="0E7B6C9A" w:rsidR="00CE5897" w:rsidRPr="000A26A3" w:rsidRDefault="001C3856" w:rsidP="00CC6E42">
      <w:pPr>
        <w:pStyle w:val="Paragraph"/>
        <w:rPr>
          <w:color w:val="000000" w:themeColor="text1"/>
          <w:lang w:val="en-US"/>
        </w:rPr>
      </w:pPr>
      <w:r>
        <w:rPr>
          <w:color w:val="000000" w:themeColor="text1"/>
          <w:lang w:val="en-US"/>
        </w:rPr>
        <w:t>A</w:t>
      </w:r>
      <w:r w:rsidR="00DB3D02">
        <w:rPr>
          <w:color w:val="000000" w:themeColor="text1"/>
          <w:lang w:val="en-US"/>
        </w:rPr>
        <w:t xml:space="preserve"> feature</w:t>
      </w:r>
      <w:r w:rsidR="00CE5897">
        <w:rPr>
          <w:color w:val="000000" w:themeColor="text1"/>
          <w:lang w:val="en-US"/>
        </w:rPr>
        <w:t xml:space="preserve"> not taken into account in the simulation are the separators between channels in the V-caviti</w:t>
      </w:r>
      <w:r w:rsidR="00CA2408">
        <w:rPr>
          <w:color w:val="000000" w:themeColor="text1"/>
          <w:lang w:val="en-US"/>
        </w:rPr>
        <w:t xml:space="preserve">es, as it appears, for example, in Ref. 18. </w:t>
      </w:r>
      <w:r w:rsidR="009F497F">
        <w:rPr>
          <w:color w:val="000000" w:themeColor="text1"/>
          <w:lang w:val="en-US"/>
        </w:rPr>
        <w:t>I</w:t>
      </w:r>
      <w:r w:rsidR="00CA2408">
        <w:rPr>
          <w:color w:val="000000" w:themeColor="text1"/>
          <w:lang w:val="en-US"/>
        </w:rPr>
        <w:t>f the separators are absorbing, there is going to be an additional decrease on</w:t>
      </w:r>
      <w:r w:rsidR="009F497F">
        <w:rPr>
          <w:color w:val="000000" w:themeColor="text1"/>
          <w:lang w:val="en-US"/>
        </w:rPr>
        <w:t xml:space="preserve"> transmission that is not taken</w:t>
      </w:r>
      <w:r w:rsidR="00CA2408">
        <w:rPr>
          <w:color w:val="000000" w:themeColor="text1"/>
          <w:lang w:val="en-US"/>
        </w:rPr>
        <w:t xml:space="preserve"> into account in the simulations.</w:t>
      </w:r>
      <w:r w:rsidR="00246002">
        <w:rPr>
          <w:color w:val="000000" w:themeColor="text1"/>
          <w:lang w:val="en-US"/>
        </w:rPr>
        <w:t xml:space="preserve"> These will depend on the number of channels and length of the polarizer. </w:t>
      </w:r>
    </w:p>
    <w:p w14:paraId="7280B90D" w14:textId="6357CF1B" w:rsidR="00B2619B" w:rsidRDefault="00B2619B" w:rsidP="00CC6E42">
      <w:pPr>
        <w:pStyle w:val="Paragraph"/>
        <w:rPr>
          <w:color w:val="000000" w:themeColor="text1"/>
          <w:lang w:val="en-US"/>
        </w:rPr>
      </w:pPr>
      <w:r w:rsidRPr="000A26A3">
        <w:rPr>
          <w:color w:val="000000" w:themeColor="text1"/>
          <w:lang w:val="en-US"/>
        </w:rPr>
        <w:t xml:space="preserve">Another important factor that is not taken into account </w:t>
      </w:r>
      <w:r w:rsidR="00FB2B19">
        <w:rPr>
          <w:color w:val="000000" w:themeColor="text1"/>
          <w:lang w:val="en-US"/>
        </w:rPr>
        <w:t xml:space="preserve">in the simulations </w:t>
      </w:r>
      <w:r w:rsidRPr="000A26A3">
        <w:rPr>
          <w:color w:val="000000" w:themeColor="text1"/>
          <w:lang w:val="en-US"/>
        </w:rPr>
        <w:t>are the depolarization effects</w:t>
      </w:r>
      <w:r w:rsidR="000A26A3" w:rsidRPr="000A26A3">
        <w:rPr>
          <w:color w:val="000000" w:themeColor="text1"/>
          <w:lang w:val="en-US"/>
        </w:rPr>
        <w:t xml:space="preserve"> </w:t>
      </w:r>
      <w:r w:rsidR="00EA11FD">
        <w:rPr>
          <w:color w:val="000000" w:themeColor="text1"/>
          <w:lang w:val="en-US"/>
        </w:rPr>
        <w:t>in supermirrors [23</w:t>
      </w:r>
      <w:r w:rsidR="000A26A3">
        <w:rPr>
          <w:color w:val="000000" w:themeColor="text1"/>
          <w:lang w:val="en-US"/>
        </w:rPr>
        <w:t>]. These come from the off-specular scattering in the multilayers and can be reduced by applying a magnetic field. The</w:t>
      </w:r>
      <w:r w:rsidR="00C05491">
        <w:rPr>
          <w:color w:val="000000" w:themeColor="text1"/>
          <w:lang w:val="en-US"/>
        </w:rPr>
        <w:t xml:space="preserve"> required</w:t>
      </w:r>
      <w:r w:rsidR="000A26A3">
        <w:rPr>
          <w:color w:val="000000" w:themeColor="text1"/>
          <w:lang w:val="en-US"/>
        </w:rPr>
        <w:t xml:space="preserve"> strength of the magnetic field will depend on different factors like the angle and the </w:t>
      </w:r>
      <w:r w:rsidR="000A26A3">
        <w:rPr>
          <w:i/>
          <w:color w:val="000000" w:themeColor="text1"/>
          <w:lang w:val="en-US"/>
        </w:rPr>
        <w:t>m</w:t>
      </w:r>
      <w:r w:rsidR="000A26A3">
        <w:rPr>
          <w:color w:val="000000" w:themeColor="text1"/>
          <w:lang w:val="en-US"/>
        </w:rPr>
        <w:t xml:space="preserve"> index of the coating. According to the </w:t>
      </w:r>
      <w:r w:rsidR="003B3708">
        <w:rPr>
          <w:color w:val="000000" w:themeColor="text1"/>
          <w:lang w:val="en-US"/>
        </w:rPr>
        <w:t>results in Ref. 22</w:t>
      </w:r>
      <w:r w:rsidR="00FB2B19">
        <w:rPr>
          <w:color w:val="000000" w:themeColor="text1"/>
          <w:lang w:val="en-US"/>
        </w:rPr>
        <w:t xml:space="preserve">, a magnetic field of around 30 </w:t>
      </w:r>
      <w:proofErr w:type="spellStart"/>
      <w:r w:rsidR="00FB2B19">
        <w:rPr>
          <w:color w:val="000000" w:themeColor="text1"/>
          <w:lang w:val="en-US"/>
        </w:rPr>
        <w:t>mT</w:t>
      </w:r>
      <w:proofErr w:type="spellEnd"/>
      <w:r w:rsidR="00FB2B19">
        <w:rPr>
          <w:color w:val="000000" w:themeColor="text1"/>
          <w:lang w:val="en-US"/>
        </w:rPr>
        <w:t xml:space="preserve"> is enough to reduce these depolarization effects to an acceptable level</w:t>
      </w:r>
      <w:r w:rsidR="00CA2408">
        <w:rPr>
          <w:color w:val="000000" w:themeColor="text1"/>
          <w:lang w:val="en-US"/>
        </w:rPr>
        <w:t xml:space="preserve">, but it will increase for high </w:t>
      </w:r>
      <w:r w:rsidR="00CA2408">
        <w:rPr>
          <w:i/>
          <w:color w:val="000000" w:themeColor="text1"/>
          <w:lang w:val="en-US"/>
        </w:rPr>
        <w:t>m</w:t>
      </w:r>
      <w:r w:rsidR="00CA2408">
        <w:rPr>
          <w:color w:val="000000" w:themeColor="text1"/>
          <w:lang w:val="en-US"/>
        </w:rPr>
        <w:t xml:space="preserve"> coatings</w:t>
      </w:r>
      <w:r w:rsidR="00FB2B19">
        <w:rPr>
          <w:color w:val="000000" w:themeColor="text1"/>
          <w:lang w:val="en-US"/>
        </w:rPr>
        <w:t xml:space="preserve">. </w:t>
      </w:r>
    </w:p>
    <w:p w14:paraId="3748E373" w14:textId="6F60BA77" w:rsidR="004963F4" w:rsidRDefault="00FB2B19" w:rsidP="00C12C5E">
      <w:pPr>
        <w:pStyle w:val="Paragraph"/>
      </w:pPr>
      <w:r>
        <w:rPr>
          <w:color w:val="000000" w:themeColor="text1"/>
          <w:lang w:val="en-US"/>
        </w:rPr>
        <w:t xml:space="preserve">In addition to that, guide fields have to be designed to reduce depolarization </w:t>
      </w:r>
      <w:r w:rsidR="00C7770F">
        <w:rPr>
          <w:color w:val="000000" w:themeColor="text1"/>
          <w:lang w:val="en-US"/>
        </w:rPr>
        <w:t>effects during the path from the polarizer to the sample, which requires careful design using finite elements calculations. These are out of the scope of this work and the simulation con</w:t>
      </w:r>
      <w:r w:rsidR="003B3708">
        <w:rPr>
          <w:color w:val="000000" w:themeColor="text1"/>
          <w:lang w:val="en-US"/>
        </w:rPr>
        <w:t>siders that there is</w:t>
      </w:r>
      <w:r w:rsidR="00330D72">
        <w:rPr>
          <w:color w:val="000000" w:themeColor="text1"/>
          <w:lang w:val="en-US"/>
        </w:rPr>
        <w:t xml:space="preserve"> no depolarization in the path to the sample</w:t>
      </w:r>
      <w:r w:rsidR="00C7770F">
        <w:rPr>
          <w:color w:val="000000" w:themeColor="text1"/>
          <w:lang w:val="en-US"/>
        </w:rPr>
        <w:t xml:space="preserve">. </w:t>
      </w:r>
    </w:p>
    <w:p w14:paraId="44BFA0E2" w14:textId="775FFA6E" w:rsidR="00CA0727" w:rsidRDefault="00441D04" w:rsidP="00170DB5">
      <w:pPr>
        <w:pStyle w:val="Paragraph"/>
      </w:pPr>
      <w:r>
        <w:t>The</w:t>
      </w:r>
      <w:r w:rsidR="00C567FC">
        <w:t xml:space="preserve"> choice </w:t>
      </w:r>
      <w:r>
        <w:t xml:space="preserve">of </w:t>
      </w:r>
      <w:r w:rsidR="00C567FC">
        <w:t>the type of polarizing mirror used in the device</w:t>
      </w:r>
      <w:r>
        <w:t xml:space="preserve"> can be important</w:t>
      </w:r>
      <w:r w:rsidR="005755A0">
        <w:t>.</w:t>
      </w:r>
      <w:r w:rsidR="00C567FC">
        <w:t xml:space="preserve"> Fe/Si supermirrors</w:t>
      </w:r>
      <w:r w:rsidR="00A91034">
        <w:t xml:space="preserve"> [3]</w:t>
      </w:r>
      <w:r w:rsidR="00C567FC">
        <w:t xml:space="preserve"> are widely used as a good compromise between performance and cost. In addition to that, they have no activation issues like the mirrors </w:t>
      </w:r>
      <w:r w:rsidR="002130B4">
        <w:t>containing Co</w:t>
      </w:r>
      <w:r w:rsidR="00C567FC">
        <w:t xml:space="preserve">. </w:t>
      </w:r>
    </w:p>
    <w:p w14:paraId="3AF7059C" w14:textId="6911D6AD" w:rsidR="00524993" w:rsidRDefault="003B3708" w:rsidP="00170DB5">
      <w:pPr>
        <w:pStyle w:val="Paragraph"/>
      </w:pPr>
      <w:r>
        <w:t>The inclination of the blades (</w:t>
      </w:r>
      <w:proofErr w:type="spellStart"/>
      <w:r>
        <w:rPr>
          <w:rFonts w:cs="Times"/>
          <w:i/>
          <w:iCs/>
        </w:rPr>
        <w:t>θ</w:t>
      </w:r>
      <w:r w:rsidRPr="00A02CD3">
        <w:rPr>
          <w:rFonts w:cs="Times"/>
          <w:i/>
          <w:iCs/>
          <w:vertAlign w:val="subscript"/>
        </w:rPr>
        <w:t>blade</w:t>
      </w:r>
      <w:proofErr w:type="spellEnd"/>
      <w:r>
        <w:rPr>
          <w:rFonts w:cs="Times"/>
          <w:iCs/>
        </w:rPr>
        <w:t>) will be calculated using a criterion of high polarization over the operating wavelength range.</w:t>
      </w:r>
      <w:r>
        <w:t xml:space="preserve"> </w:t>
      </w:r>
      <w:r w:rsidR="00524993">
        <w:t xml:space="preserve">The formula to estimate the needed inclination of the blades </w:t>
      </w:r>
      <w:r w:rsidR="00CF4A2C">
        <w:t xml:space="preserve">in degrees </w:t>
      </w:r>
      <w:r w:rsidR="00524993">
        <w:t>is as follows:</w:t>
      </w:r>
    </w:p>
    <w:p w14:paraId="50E97CFC" w14:textId="4AA8E846" w:rsidR="00CF4A2C" w:rsidRPr="000A26A3" w:rsidRDefault="00CF4A2C" w:rsidP="00CF4A2C">
      <w:pPr>
        <w:jc w:val="center"/>
        <w:rPr>
          <w:rFonts w:ascii="Times" w:hAnsi="Times"/>
          <w:sz w:val="18"/>
          <w:vertAlign w:val="subscript"/>
          <w:lang w:val="en-US"/>
        </w:rPr>
      </w:pPr>
      <w:r w:rsidRPr="00CF4A2C">
        <w:rPr>
          <w:rFonts w:ascii="Times" w:hAnsi="Times"/>
          <w:i/>
          <w:iCs/>
          <w:sz w:val="20"/>
          <w:lang w:val="en-US"/>
        </w:rPr>
        <w:t xml:space="preserve">               </w:t>
      </w:r>
      <w:r w:rsidR="00A8096A">
        <w:rPr>
          <w:rFonts w:ascii="Times" w:hAnsi="Times"/>
          <w:i/>
          <w:iCs/>
          <w:sz w:val="20"/>
          <w:lang w:val="en-US"/>
        </w:rPr>
        <w:t>|</w:t>
      </w:r>
      <w:proofErr w:type="spellStart"/>
      <w:r>
        <w:rPr>
          <w:rFonts w:ascii="Times" w:hAnsi="Times" w:cs="Times"/>
          <w:i/>
          <w:iCs/>
          <w:sz w:val="20"/>
          <w:lang w:val="en-GB"/>
        </w:rPr>
        <w:t>θ</w:t>
      </w:r>
      <w:r w:rsidRPr="00A02CD3">
        <w:rPr>
          <w:rFonts w:ascii="Times" w:hAnsi="Times" w:cs="Times"/>
          <w:i/>
          <w:iCs/>
          <w:sz w:val="20"/>
          <w:vertAlign w:val="subscript"/>
          <w:lang w:val="en-GB"/>
        </w:rPr>
        <w:t>blade</w:t>
      </w:r>
      <w:proofErr w:type="spellEnd"/>
      <w:r w:rsidR="00A8096A" w:rsidRPr="00A02CD3">
        <w:rPr>
          <w:rFonts w:ascii="Times" w:hAnsi="Times" w:cs="Times"/>
          <w:i/>
          <w:iCs/>
          <w:sz w:val="20"/>
          <w:lang w:val="en-GB"/>
        </w:rPr>
        <w:t>|</w:t>
      </w:r>
      <w:r w:rsidRPr="00A02CD3">
        <w:rPr>
          <w:rFonts w:ascii="Times" w:hAnsi="Times" w:cs="Times"/>
          <w:i/>
          <w:iCs/>
          <w:sz w:val="20"/>
          <w:lang w:val="en-GB"/>
        </w:rPr>
        <w:t xml:space="preserve"> = m × </w:t>
      </w:r>
      <w:proofErr w:type="spellStart"/>
      <w:r>
        <w:rPr>
          <w:rFonts w:ascii="Times" w:hAnsi="Times" w:cs="Times"/>
          <w:i/>
          <w:iCs/>
          <w:sz w:val="20"/>
          <w:lang w:val="en-GB"/>
        </w:rPr>
        <w:t>λ</w:t>
      </w:r>
      <w:r w:rsidRPr="00A02CD3">
        <w:rPr>
          <w:rFonts w:ascii="Times" w:hAnsi="Times" w:cs="Times"/>
          <w:i/>
          <w:iCs/>
          <w:sz w:val="20"/>
          <w:vertAlign w:val="subscript"/>
          <w:lang w:val="en-GB"/>
        </w:rPr>
        <w:t>c</w:t>
      </w:r>
      <w:proofErr w:type="spellEnd"/>
      <w:r w:rsidRPr="00A02CD3">
        <w:rPr>
          <w:rFonts w:ascii="Times" w:hAnsi="Times"/>
          <w:i/>
          <w:iCs/>
          <w:sz w:val="20"/>
          <w:lang w:val="en-GB"/>
        </w:rPr>
        <w:t xml:space="preserve"> </w:t>
      </w:r>
      <w:r w:rsidRPr="00A02CD3">
        <w:rPr>
          <w:rFonts w:ascii="Times" w:hAnsi="Times" w:cs="Times"/>
          <w:i/>
          <w:iCs/>
          <w:sz w:val="20"/>
          <w:lang w:val="en-GB"/>
        </w:rPr>
        <w:t>×</w:t>
      </w:r>
      <w:r w:rsidRPr="00A02CD3">
        <w:rPr>
          <w:rFonts w:ascii="Times" w:hAnsi="Times"/>
          <w:i/>
          <w:iCs/>
          <w:sz w:val="20"/>
          <w:lang w:val="en-GB"/>
        </w:rPr>
        <w:t xml:space="preserve"> 0.1</w:t>
      </w:r>
      <w:r w:rsidRPr="00A02CD3">
        <w:rPr>
          <w:rFonts w:ascii="Times" w:hAnsi="Times" w:cs="Times"/>
          <w:i/>
          <w:iCs/>
          <w:sz w:val="20"/>
          <w:lang w:val="en-GB"/>
        </w:rPr>
        <w:t>°</w:t>
      </w:r>
      <w:r w:rsidRPr="00A02CD3">
        <w:rPr>
          <w:rFonts w:ascii="Times" w:hAnsi="Times"/>
          <w:i/>
          <w:iCs/>
          <w:sz w:val="20"/>
          <w:lang w:val="en-GB"/>
        </w:rPr>
        <w:t xml:space="preserve"> - </w:t>
      </w:r>
      <w:r w:rsidR="00A8096A" w:rsidRPr="00A02CD3">
        <w:rPr>
          <w:rFonts w:ascii="Times" w:hAnsi="Times"/>
          <w:i/>
          <w:iCs/>
          <w:sz w:val="20"/>
          <w:lang w:val="en-GB"/>
        </w:rPr>
        <w:t>|</w:t>
      </w:r>
      <w:proofErr w:type="spellStart"/>
      <w:r>
        <w:rPr>
          <w:rFonts w:ascii="Times" w:hAnsi="Times" w:cs="Times"/>
          <w:i/>
          <w:iCs/>
          <w:sz w:val="20"/>
          <w:lang w:val="en-GB"/>
        </w:rPr>
        <w:t>θ</w:t>
      </w:r>
      <w:r w:rsidRPr="00A02CD3">
        <w:rPr>
          <w:rFonts w:ascii="Times" w:hAnsi="Times" w:cs="Times"/>
          <w:i/>
          <w:iCs/>
          <w:sz w:val="20"/>
          <w:vertAlign w:val="subscript"/>
          <w:lang w:val="en-GB"/>
        </w:rPr>
        <w:t>div,max</w:t>
      </w:r>
      <w:proofErr w:type="spellEnd"/>
      <w:r w:rsidR="00A8096A" w:rsidRPr="00A02CD3">
        <w:rPr>
          <w:rFonts w:ascii="Times" w:hAnsi="Times" w:cs="Times"/>
          <w:i/>
          <w:iCs/>
          <w:sz w:val="20"/>
          <w:lang w:val="en-GB"/>
        </w:rPr>
        <w:t>|</w:t>
      </w:r>
      <w:r w:rsidRPr="00A02CD3">
        <w:rPr>
          <w:rFonts w:ascii="Times" w:hAnsi="Times"/>
          <w:i/>
          <w:iCs/>
          <w:sz w:val="20"/>
          <w:lang w:val="en-GB"/>
        </w:rPr>
        <w:t xml:space="preserve"> </w:t>
      </w:r>
      <w:r w:rsidR="00CC6E42" w:rsidRPr="000A26A3">
        <w:rPr>
          <w:rFonts w:ascii="Times" w:hAnsi="Times"/>
          <w:sz w:val="18"/>
          <w:vertAlign w:val="subscript"/>
          <w:lang w:val="en-US"/>
        </w:rPr>
        <w:tab/>
        <w:t xml:space="preserve">               (2</w:t>
      </w:r>
      <w:r w:rsidRPr="000A26A3">
        <w:rPr>
          <w:rFonts w:ascii="Times" w:hAnsi="Times"/>
          <w:sz w:val="18"/>
          <w:vertAlign w:val="subscript"/>
          <w:lang w:val="en-US"/>
        </w:rPr>
        <w:t>)</w:t>
      </w:r>
    </w:p>
    <w:p w14:paraId="4842BB51" w14:textId="615E4752" w:rsidR="00036AC2" w:rsidRDefault="00CF4A2C" w:rsidP="00E46EB3">
      <w:pPr>
        <w:pStyle w:val="Paragraph"/>
        <w:rPr>
          <w:lang w:val="en-US"/>
        </w:rPr>
      </w:pPr>
      <w:r w:rsidRPr="00CF4A2C">
        <w:rPr>
          <w:lang w:val="en-US"/>
        </w:rPr>
        <w:t xml:space="preserve">Where </w:t>
      </w:r>
      <w:r w:rsidRPr="00CF4A2C">
        <w:rPr>
          <w:i/>
          <w:lang w:val="en-US"/>
        </w:rPr>
        <w:t>m</w:t>
      </w:r>
      <w:r w:rsidRPr="00CF4A2C">
        <w:rPr>
          <w:lang w:val="en-US"/>
        </w:rPr>
        <w:t xml:space="preserve"> is the critical angle of the coating expressed as a function of the critical angle of </w:t>
      </w:r>
      <w:r w:rsidR="003B3708">
        <w:rPr>
          <w:lang w:val="en-US"/>
        </w:rPr>
        <w:t>Ni,</w:t>
      </w:r>
      <w:r>
        <w:rPr>
          <w:lang w:val="en-US"/>
        </w:rPr>
        <w:t xml:space="preserve"> </w:t>
      </w:r>
      <w:proofErr w:type="spellStart"/>
      <w:r>
        <w:rPr>
          <w:rFonts w:cs="Times"/>
          <w:i/>
          <w:lang w:val="en-US"/>
        </w:rPr>
        <w:t>λ</w:t>
      </w:r>
      <w:r>
        <w:rPr>
          <w:i/>
          <w:vertAlign w:val="subscript"/>
          <w:lang w:val="en-US"/>
        </w:rPr>
        <w:t>c</w:t>
      </w:r>
      <w:proofErr w:type="spellEnd"/>
      <w:r>
        <w:rPr>
          <w:i/>
          <w:lang w:val="en-US"/>
        </w:rPr>
        <w:t xml:space="preserve"> </w:t>
      </w:r>
      <w:r>
        <w:rPr>
          <w:lang w:val="en-US"/>
        </w:rPr>
        <w:t xml:space="preserve">is the critical wavelength where the </w:t>
      </w:r>
      <w:r w:rsidR="00125109">
        <w:rPr>
          <w:lang w:val="en-US"/>
        </w:rPr>
        <w:t>reflectivity will be high</w:t>
      </w:r>
      <w:r w:rsidR="00281087">
        <w:rPr>
          <w:lang w:val="en-US"/>
        </w:rPr>
        <w:t xml:space="preserve"> (which will be slightly lower than the lowest limit of the operating wavelength range of the instrument)</w:t>
      </w:r>
      <w:r w:rsidR="003B3708">
        <w:rPr>
          <w:lang w:val="en-US"/>
        </w:rPr>
        <w:t xml:space="preserve"> and </w:t>
      </w:r>
      <w:proofErr w:type="spellStart"/>
      <w:r w:rsidR="003B3708">
        <w:rPr>
          <w:rFonts w:cs="Times"/>
          <w:i/>
          <w:iCs/>
        </w:rPr>
        <w:t>θ</w:t>
      </w:r>
      <w:r w:rsidR="003B3708" w:rsidRPr="00A02CD3">
        <w:rPr>
          <w:rFonts w:cs="Times"/>
          <w:i/>
          <w:iCs/>
          <w:vertAlign w:val="subscript"/>
        </w:rPr>
        <w:t>div,max</w:t>
      </w:r>
      <w:proofErr w:type="spellEnd"/>
      <w:r w:rsidR="003B3708">
        <w:rPr>
          <w:rFonts w:cs="Times"/>
          <w:iCs/>
        </w:rPr>
        <w:t xml:space="preserve"> is the maximum divergence of the beam</w:t>
      </w:r>
      <w:r w:rsidR="00125109">
        <w:rPr>
          <w:lang w:val="en-US"/>
        </w:rPr>
        <w:t>.</w:t>
      </w:r>
      <w:r w:rsidR="00281087">
        <w:rPr>
          <w:lang w:val="en-US"/>
        </w:rPr>
        <w:t xml:space="preserve"> </w:t>
      </w:r>
    </w:p>
    <w:p w14:paraId="78E30182" w14:textId="382C0D2F" w:rsidR="00281087" w:rsidRDefault="00281087" w:rsidP="00E46EB3">
      <w:pPr>
        <w:pStyle w:val="Paragraph"/>
        <w:rPr>
          <w:lang w:val="en-US"/>
        </w:rPr>
      </w:pPr>
      <w:r>
        <w:rPr>
          <w:lang w:val="en-US"/>
        </w:rPr>
        <w:t>The design considerations are simpler than i</w:t>
      </w:r>
      <w:r w:rsidR="00EA11FD">
        <w:rPr>
          <w:lang w:val="en-US"/>
        </w:rPr>
        <w:t>n the study made by Dewhurst [24</w:t>
      </w:r>
      <w:r>
        <w:rPr>
          <w:lang w:val="en-US"/>
        </w:rPr>
        <w:t>]</w:t>
      </w:r>
      <w:r w:rsidR="00585EDB">
        <w:rPr>
          <w:lang w:val="en-US"/>
        </w:rPr>
        <w:t xml:space="preserve">, where the maximum divergence of the beam has a linear dependence with wavelength. This study takes the assumption of extended </w:t>
      </w:r>
      <w:r w:rsidR="000443B4">
        <w:rPr>
          <w:lang w:val="en-US"/>
        </w:rPr>
        <w:t xml:space="preserve">source geometry and straight guide geometry, which is not the case </w:t>
      </w:r>
      <w:r w:rsidR="007337B0">
        <w:rPr>
          <w:lang w:val="en-US"/>
        </w:rPr>
        <w:t xml:space="preserve">at ESS. The moderator at ESS uses a complex geometry with thermal and cold zones with a reduced dimensionality in the vertical direction in order to increase </w:t>
      </w:r>
      <w:r w:rsidR="00EA11FD">
        <w:rPr>
          <w:lang w:val="en-US"/>
        </w:rPr>
        <w:t>the brightness of the source [25</w:t>
      </w:r>
      <w:r w:rsidR="007337B0">
        <w:rPr>
          <w:lang w:val="en-US"/>
        </w:rPr>
        <w:t>]</w:t>
      </w:r>
      <w:r w:rsidR="00E51113">
        <w:rPr>
          <w:lang w:val="en-US"/>
        </w:rPr>
        <w:t>. As in the design of MIRACLES and BIFROST guides [8, 10], the low dimensionality of the moderator in the vertical direction enables extracting the beam with a defocusing elliptical guide section, converting it into a lower divergence beam with no wavelength dependence. In the case of the of the horizontal divergence, a defocusing guide can be placed after the curved section used to filter fast and epithermal neutrons. Therefore, it is possible to obtain a value of the maximum divergence which is independent of the wavelength, making the optimization easier.</w:t>
      </w:r>
    </w:p>
    <w:p w14:paraId="03844349" w14:textId="1CC704E2" w:rsidR="00C03536" w:rsidRDefault="00F32668" w:rsidP="00F32668">
      <w:pPr>
        <w:pStyle w:val="Paragraphfirst"/>
        <w:jc w:val="center"/>
      </w:pPr>
      <w:r>
        <w:rPr>
          <w:noProof/>
          <w:lang w:val="sv-SE" w:eastAsia="sv-SE"/>
        </w:rPr>
        <w:lastRenderedPageBreak/>
        <w:drawing>
          <wp:inline distT="0" distB="0" distL="0" distR="0" wp14:anchorId="1A1306C7" wp14:editId="21A05758">
            <wp:extent cx="2931178" cy="22192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2_b_re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5234" cy="2222326"/>
                    </a:xfrm>
                    <a:prstGeom prst="rect">
                      <a:avLst/>
                    </a:prstGeom>
                  </pic:spPr>
                </pic:pic>
              </a:graphicData>
            </a:graphic>
          </wp:inline>
        </w:drawing>
      </w:r>
    </w:p>
    <w:p w14:paraId="3D190C3C" w14:textId="0BA56C78" w:rsidR="00C03536" w:rsidRPr="00C03536" w:rsidRDefault="008C2F5B" w:rsidP="00C03536">
      <w:pPr>
        <w:tabs>
          <w:tab w:val="left" w:pos="4536"/>
        </w:tabs>
        <w:spacing w:before="120" w:after="120"/>
        <w:rPr>
          <w:rFonts w:ascii="Times New Roman" w:hAnsi="Times New Roman"/>
          <w:bCs/>
          <w:sz w:val="18"/>
          <w:szCs w:val="18"/>
          <w:lang w:val="en-GB"/>
        </w:rPr>
      </w:pPr>
      <w:r>
        <w:rPr>
          <w:rFonts w:ascii="Times New Roman" w:hAnsi="Times New Roman"/>
          <w:b/>
          <w:bCs/>
          <w:sz w:val="18"/>
          <w:szCs w:val="18"/>
          <w:lang w:val="en-GB"/>
        </w:rPr>
        <w:t>Fig. 3</w:t>
      </w:r>
      <w:r w:rsidR="00C03536" w:rsidRPr="00E35902">
        <w:rPr>
          <w:rFonts w:ascii="Times New Roman" w:hAnsi="Times New Roman"/>
          <w:b/>
          <w:bCs/>
          <w:sz w:val="18"/>
          <w:szCs w:val="18"/>
          <w:lang w:val="en-GB"/>
        </w:rPr>
        <w:t>.</w:t>
      </w:r>
      <w:r w:rsidR="00C03536">
        <w:rPr>
          <w:rFonts w:ascii="Times New Roman" w:hAnsi="Times New Roman"/>
          <w:b/>
          <w:bCs/>
          <w:sz w:val="18"/>
          <w:szCs w:val="18"/>
          <w:lang w:val="en-GB"/>
        </w:rPr>
        <w:t xml:space="preserve"> </w:t>
      </w:r>
      <w:r w:rsidR="00C03536" w:rsidRPr="00C03536">
        <w:rPr>
          <w:rFonts w:ascii="Times New Roman" w:hAnsi="Times New Roman"/>
          <w:bCs/>
          <w:sz w:val="18"/>
          <w:szCs w:val="18"/>
          <w:lang w:val="en-GB"/>
        </w:rPr>
        <w:t>Evolution of</w:t>
      </w:r>
      <w:r w:rsidR="00C03536">
        <w:rPr>
          <w:rFonts w:ascii="Times New Roman" w:hAnsi="Times New Roman"/>
          <w:b/>
          <w:bCs/>
          <w:sz w:val="18"/>
          <w:szCs w:val="18"/>
          <w:lang w:val="en-GB"/>
        </w:rPr>
        <w:t xml:space="preserve"> </w:t>
      </w:r>
      <w:proofErr w:type="spellStart"/>
      <w:r w:rsidR="00C03536" w:rsidRPr="002D42BC">
        <w:rPr>
          <w:rFonts w:ascii="Times New Roman" w:hAnsi="Times New Roman" w:cs="Times New Roman"/>
          <w:bCs/>
          <w:i/>
          <w:sz w:val="18"/>
          <w:szCs w:val="18"/>
          <w:lang w:val="en-GB"/>
        </w:rPr>
        <w:t>θ</w:t>
      </w:r>
      <w:r w:rsidR="00C03536" w:rsidRPr="002D42BC">
        <w:rPr>
          <w:rFonts w:ascii="Times New Roman" w:hAnsi="Times New Roman"/>
          <w:bCs/>
          <w:i/>
          <w:sz w:val="18"/>
          <w:szCs w:val="18"/>
          <w:vertAlign w:val="subscript"/>
          <w:lang w:val="en-GB"/>
        </w:rPr>
        <w:t>blade</w:t>
      </w:r>
      <w:proofErr w:type="spellEnd"/>
      <w:r w:rsidR="00C03536">
        <w:rPr>
          <w:rFonts w:ascii="Times New Roman" w:hAnsi="Times New Roman"/>
          <w:bCs/>
          <w:sz w:val="18"/>
          <w:szCs w:val="18"/>
          <w:lang w:val="en-GB"/>
        </w:rPr>
        <w:t xml:space="preserve"> as a function of </w:t>
      </w:r>
      <w:proofErr w:type="spellStart"/>
      <w:r w:rsidR="00C03536" w:rsidRPr="002D42BC">
        <w:rPr>
          <w:rFonts w:ascii="Times New Roman" w:hAnsi="Times New Roman" w:cs="Times New Roman"/>
          <w:bCs/>
          <w:i/>
          <w:sz w:val="18"/>
          <w:szCs w:val="18"/>
          <w:lang w:val="en-GB"/>
        </w:rPr>
        <w:t>θ</w:t>
      </w:r>
      <w:r w:rsidR="00C03536" w:rsidRPr="002D42BC">
        <w:rPr>
          <w:rFonts w:ascii="Times New Roman" w:hAnsi="Times New Roman"/>
          <w:bCs/>
          <w:i/>
          <w:sz w:val="18"/>
          <w:szCs w:val="18"/>
          <w:vertAlign w:val="subscript"/>
          <w:lang w:val="en-GB"/>
        </w:rPr>
        <w:t>div,max</w:t>
      </w:r>
      <w:proofErr w:type="spellEnd"/>
      <w:r w:rsidR="00281087">
        <w:rPr>
          <w:rFonts w:ascii="Times New Roman" w:hAnsi="Times New Roman"/>
          <w:bCs/>
          <w:sz w:val="18"/>
          <w:szCs w:val="18"/>
          <w:lang w:val="en-GB"/>
        </w:rPr>
        <w:t xml:space="preserve"> as described in equation (2</w:t>
      </w:r>
      <w:r w:rsidR="00C03536">
        <w:rPr>
          <w:rFonts w:ascii="Times New Roman" w:hAnsi="Times New Roman"/>
          <w:bCs/>
          <w:sz w:val="18"/>
          <w:szCs w:val="18"/>
          <w:lang w:val="en-GB"/>
        </w:rPr>
        <w:t>) for different examples.</w:t>
      </w:r>
    </w:p>
    <w:p w14:paraId="4EA0115A" w14:textId="0CEDAC32" w:rsidR="001144FC" w:rsidRPr="003975FF" w:rsidRDefault="00E51113" w:rsidP="00E46EB3">
      <w:pPr>
        <w:pStyle w:val="Paragraph"/>
        <w:rPr>
          <w:i/>
          <w:lang w:val="en-US"/>
        </w:rPr>
      </w:pPr>
      <w:r>
        <w:rPr>
          <w:lang w:val="en-US"/>
        </w:rPr>
        <w:t>The trends of equation (2)</w:t>
      </w:r>
      <w:r w:rsidR="001144FC">
        <w:rPr>
          <w:lang w:val="en-US"/>
        </w:rPr>
        <w:t xml:space="preserve"> </w:t>
      </w:r>
      <w:r w:rsidR="008C2F5B">
        <w:rPr>
          <w:lang w:val="en-US"/>
        </w:rPr>
        <w:t>are shown in fig. 3</w:t>
      </w:r>
      <w:r w:rsidR="00A8096A">
        <w:rPr>
          <w:lang w:val="en-US"/>
        </w:rPr>
        <w:t>. For</w:t>
      </w:r>
      <w:r w:rsidR="001144FC">
        <w:rPr>
          <w:lang w:val="en-US"/>
        </w:rPr>
        <w:t xml:space="preserve"> given</w:t>
      </w:r>
      <w:r w:rsidR="00A8096A">
        <w:rPr>
          <w:lang w:val="en-US"/>
        </w:rPr>
        <w:t xml:space="preserve"> values of</w:t>
      </w:r>
      <w:r w:rsidR="001144FC">
        <w:rPr>
          <w:lang w:val="en-US"/>
        </w:rPr>
        <w:t xml:space="preserve"> </w:t>
      </w:r>
      <w:r w:rsidR="00A8096A" w:rsidRPr="002D42BC">
        <w:rPr>
          <w:i/>
          <w:lang w:val="en-US"/>
        </w:rPr>
        <w:t>m</w:t>
      </w:r>
      <w:r w:rsidR="00A8096A">
        <w:rPr>
          <w:lang w:val="en-US"/>
        </w:rPr>
        <w:t xml:space="preserve"> and </w:t>
      </w:r>
      <w:proofErr w:type="spellStart"/>
      <w:r w:rsidR="00A8096A" w:rsidRPr="002D42BC">
        <w:rPr>
          <w:rFonts w:cs="Times"/>
          <w:i/>
          <w:lang w:val="en-US"/>
        </w:rPr>
        <w:t>λ</w:t>
      </w:r>
      <w:r w:rsidR="00A8096A" w:rsidRPr="002D42BC">
        <w:rPr>
          <w:rFonts w:cs="Times"/>
          <w:i/>
          <w:vertAlign w:val="subscript"/>
          <w:lang w:val="en-US"/>
        </w:rPr>
        <w:t>c</w:t>
      </w:r>
      <w:proofErr w:type="spellEnd"/>
      <w:r w:rsidR="00A8096A">
        <w:rPr>
          <w:rFonts w:cs="Times"/>
          <w:lang w:val="en-US"/>
        </w:rPr>
        <w:t>,</w:t>
      </w:r>
      <w:r w:rsidR="00A8096A">
        <w:rPr>
          <w:lang w:val="en-US"/>
        </w:rPr>
        <w:t xml:space="preserve"> the values of </w:t>
      </w:r>
      <w:proofErr w:type="spellStart"/>
      <w:r w:rsidR="00A8096A" w:rsidRPr="002D42BC">
        <w:rPr>
          <w:rFonts w:cs="Times"/>
          <w:i/>
          <w:lang w:val="en-US"/>
        </w:rPr>
        <w:t>θ</w:t>
      </w:r>
      <w:r w:rsidR="00A8096A" w:rsidRPr="002D42BC">
        <w:rPr>
          <w:i/>
          <w:vertAlign w:val="subscript"/>
          <w:lang w:val="en-US"/>
        </w:rPr>
        <w:t>blade</w:t>
      </w:r>
      <w:proofErr w:type="spellEnd"/>
      <w:r w:rsidR="00A8096A">
        <w:rPr>
          <w:lang w:val="en-US"/>
        </w:rPr>
        <w:t xml:space="preserve"> depend linearly </w:t>
      </w:r>
      <w:r w:rsidR="00A02CD3">
        <w:rPr>
          <w:lang w:val="en-US"/>
        </w:rPr>
        <w:t xml:space="preserve">with </w:t>
      </w:r>
      <w:proofErr w:type="spellStart"/>
      <w:r w:rsidR="00A02CD3" w:rsidRPr="002D42BC">
        <w:rPr>
          <w:rFonts w:cs="Times"/>
          <w:i/>
          <w:lang w:val="en-US"/>
        </w:rPr>
        <w:t>θ</w:t>
      </w:r>
      <w:r w:rsidR="00A02CD3" w:rsidRPr="002D42BC">
        <w:rPr>
          <w:i/>
          <w:vertAlign w:val="subscript"/>
          <w:lang w:val="en-US"/>
        </w:rPr>
        <w:t>div,max</w:t>
      </w:r>
      <w:proofErr w:type="spellEnd"/>
      <w:r w:rsidR="00A02CD3">
        <w:rPr>
          <w:lang w:val="en-US"/>
        </w:rPr>
        <w:t xml:space="preserve">. </w:t>
      </w:r>
      <w:r w:rsidR="003975FF">
        <w:rPr>
          <w:lang w:val="en-US"/>
        </w:rPr>
        <w:t xml:space="preserve">In terms of manufacturing, a low value of </w:t>
      </w:r>
      <w:proofErr w:type="spellStart"/>
      <w:r w:rsidR="003975FF" w:rsidRPr="002D42BC">
        <w:rPr>
          <w:rFonts w:cs="Times"/>
          <w:i/>
          <w:lang w:val="en-US"/>
        </w:rPr>
        <w:t>θ</w:t>
      </w:r>
      <w:r w:rsidR="003975FF" w:rsidRPr="002D42BC">
        <w:rPr>
          <w:i/>
          <w:vertAlign w:val="subscript"/>
          <w:lang w:val="en-US"/>
        </w:rPr>
        <w:t>blade</w:t>
      </w:r>
      <w:proofErr w:type="spellEnd"/>
      <w:r w:rsidR="003975FF">
        <w:rPr>
          <w:lang w:val="en-US"/>
        </w:rPr>
        <w:t xml:space="preserve"> would imply </w:t>
      </w:r>
      <w:r w:rsidR="00C03536">
        <w:rPr>
          <w:lang w:val="en-US"/>
        </w:rPr>
        <w:t>a larger surface to coat and more channels, which would increase costs and would be more difficult to manufacture</w:t>
      </w:r>
      <w:r>
        <w:rPr>
          <w:lang w:val="en-US"/>
        </w:rPr>
        <w:t xml:space="preserve">. However, increasing the </w:t>
      </w:r>
      <w:r>
        <w:rPr>
          <w:i/>
          <w:lang w:val="en-US"/>
        </w:rPr>
        <w:t xml:space="preserve">m </w:t>
      </w:r>
      <w:r>
        <w:rPr>
          <w:lang w:val="en-US"/>
        </w:rPr>
        <w:t>coating also can increase the costs</w:t>
      </w:r>
      <w:r w:rsidR="00C03536">
        <w:rPr>
          <w:lang w:val="en-US"/>
        </w:rPr>
        <w:t>.</w:t>
      </w:r>
      <w:r>
        <w:rPr>
          <w:lang w:val="en-US"/>
        </w:rPr>
        <w:t xml:space="preserve"> Therefore, a compromise has to be reached.</w:t>
      </w:r>
    </w:p>
    <w:p w14:paraId="3F3F57FD" w14:textId="164D92A5" w:rsidR="00524993" w:rsidRDefault="00524993" w:rsidP="00524993">
      <w:pPr>
        <w:pStyle w:val="Section"/>
      </w:pPr>
      <w:r>
        <w:t>Results</w:t>
      </w:r>
      <w:r w:rsidR="006A58E7">
        <w:t xml:space="preserve"> and discussion</w:t>
      </w:r>
    </w:p>
    <w:p w14:paraId="6BAAFC31" w14:textId="5630A1DE" w:rsidR="00524993" w:rsidRDefault="00D444EE" w:rsidP="00D444EE">
      <w:pPr>
        <w:pStyle w:val="Subsection"/>
      </w:pPr>
      <w:r>
        <w:t>Polarizer for instrument MIRACLES</w:t>
      </w:r>
    </w:p>
    <w:p w14:paraId="7DE99604" w14:textId="223C1D7A" w:rsidR="00481412" w:rsidRDefault="00481412" w:rsidP="00481412">
      <w:pPr>
        <w:pStyle w:val="Paragraphfirst"/>
        <w:jc w:val="center"/>
      </w:pPr>
      <w:r>
        <w:rPr>
          <w:noProof/>
          <w:lang w:val="sv-SE" w:eastAsia="sv-SE"/>
        </w:rPr>
        <w:drawing>
          <wp:inline distT="0" distB="0" distL="0" distR="0" wp14:anchorId="287631E9" wp14:editId="302B1D3B">
            <wp:extent cx="3038622" cy="1429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MIRACLES.png"/>
                    <pic:cNvPicPr/>
                  </pic:nvPicPr>
                  <pic:blipFill rotWithShape="1">
                    <a:blip r:embed="rId12" cstate="print">
                      <a:extLst>
                        <a:ext uri="{28A0092B-C50C-407E-A947-70E740481C1C}">
                          <a14:useLocalDpi xmlns:a14="http://schemas.microsoft.com/office/drawing/2010/main" val="0"/>
                        </a:ext>
                      </a:extLst>
                    </a:blip>
                    <a:srcRect t="13250" r="2838" b="5456"/>
                    <a:stretch/>
                  </pic:blipFill>
                  <pic:spPr bwMode="auto">
                    <a:xfrm>
                      <a:off x="0" y="0"/>
                      <a:ext cx="3067382" cy="1443499"/>
                    </a:xfrm>
                    <a:prstGeom prst="rect">
                      <a:avLst/>
                    </a:prstGeom>
                    <a:ln>
                      <a:noFill/>
                    </a:ln>
                    <a:extLst>
                      <a:ext uri="{53640926-AAD7-44D8-BBD7-CCE9431645EC}">
                        <a14:shadowObscured xmlns:a14="http://schemas.microsoft.com/office/drawing/2010/main"/>
                      </a:ext>
                    </a:extLst>
                  </pic:spPr>
                </pic:pic>
              </a:graphicData>
            </a:graphic>
          </wp:inline>
        </w:drawing>
      </w:r>
    </w:p>
    <w:p w14:paraId="61656533" w14:textId="511109C0" w:rsidR="00481412" w:rsidRPr="00C03536" w:rsidRDefault="00481412" w:rsidP="00481412">
      <w:pPr>
        <w:tabs>
          <w:tab w:val="left" w:pos="4536"/>
        </w:tabs>
        <w:spacing w:before="120" w:after="120"/>
        <w:rPr>
          <w:rFonts w:ascii="Times New Roman" w:hAnsi="Times New Roman"/>
          <w:bCs/>
          <w:sz w:val="18"/>
          <w:szCs w:val="18"/>
          <w:lang w:val="en-GB"/>
        </w:rPr>
      </w:pPr>
      <w:r>
        <w:rPr>
          <w:rFonts w:ascii="Times New Roman" w:hAnsi="Times New Roman"/>
          <w:b/>
          <w:bCs/>
          <w:sz w:val="18"/>
          <w:szCs w:val="18"/>
          <w:lang w:val="en-GB"/>
        </w:rPr>
        <w:t>Fig. 4</w:t>
      </w:r>
      <w:r w:rsidRPr="00E35902">
        <w:rPr>
          <w:rFonts w:ascii="Times New Roman" w:hAnsi="Times New Roman"/>
          <w:b/>
          <w:bCs/>
          <w:sz w:val="18"/>
          <w:szCs w:val="18"/>
          <w:lang w:val="en-GB"/>
        </w:rPr>
        <w:t>.</w:t>
      </w:r>
      <w:r>
        <w:rPr>
          <w:rFonts w:ascii="Times New Roman" w:hAnsi="Times New Roman"/>
          <w:b/>
          <w:bCs/>
          <w:sz w:val="18"/>
          <w:szCs w:val="18"/>
          <w:lang w:val="en-GB"/>
        </w:rPr>
        <w:t xml:space="preserve"> </w:t>
      </w:r>
      <w:r>
        <w:rPr>
          <w:rFonts w:ascii="Times New Roman" w:hAnsi="Times New Roman"/>
          <w:bCs/>
          <w:sz w:val="18"/>
          <w:szCs w:val="18"/>
          <w:lang w:val="en-GB"/>
        </w:rPr>
        <w:t>Sketch of the location of the polarizer of MIRACLES instrument</w:t>
      </w:r>
    </w:p>
    <w:p w14:paraId="22BEB4F7" w14:textId="40B8BEA4" w:rsidR="00D444EE" w:rsidRDefault="00481412" w:rsidP="00D444EE">
      <w:pPr>
        <w:pStyle w:val="Paragraphfirst"/>
      </w:pPr>
      <w:r>
        <w:t>Fig. 4 shows the location of the polarizer within t</w:t>
      </w:r>
      <w:r w:rsidR="00125109">
        <w:t>he guide</w:t>
      </w:r>
      <w:r>
        <w:t xml:space="preserve"> system</w:t>
      </w:r>
      <w:r w:rsidR="00125109">
        <w:t xml:space="preserve"> of MIRACLES</w:t>
      </w:r>
      <w:r>
        <w:t xml:space="preserve">. After the bandwidth chopper there is </w:t>
      </w:r>
      <w:r w:rsidR="00125109">
        <w:t xml:space="preserve">long straight section with a large cross section (13 </w:t>
      </w:r>
      <w:r w:rsidR="00125109">
        <w:rPr>
          <w:rFonts w:cs="Times"/>
        </w:rPr>
        <w:t>×</w:t>
      </w:r>
      <w:r w:rsidR="00125109">
        <w:t xml:space="preserve"> 11 cm</w:t>
      </w:r>
      <w:r w:rsidR="00125109">
        <w:rPr>
          <w:vertAlign w:val="superscript"/>
        </w:rPr>
        <w:t>2</w:t>
      </w:r>
      <w:r w:rsidR="00125109">
        <w:t xml:space="preserve">) before it starts </w:t>
      </w:r>
      <w:r>
        <w:t xml:space="preserve">the focusing section. </w:t>
      </w:r>
      <w:r w:rsidR="007A176D">
        <w:t xml:space="preserve">The straight section also has a coating of </w:t>
      </w:r>
      <w:r w:rsidR="007A176D" w:rsidRPr="007A176D">
        <w:rPr>
          <w:i/>
        </w:rPr>
        <w:t>m</w:t>
      </w:r>
      <w:r w:rsidR="007A176D">
        <w:rPr>
          <w:i/>
        </w:rPr>
        <w:t xml:space="preserve"> </w:t>
      </w:r>
      <w:r w:rsidR="007A176D">
        <w:t xml:space="preserve">= 1.5 in all the sides. </w:t>
      </w:r>
      <w:r w:rsidRPr="007A176D">
        <w:t>The</w:t>
      </w:r>
      <w:r>
        <w:t xml:space="preserve"> focusing section will be an elliptic guide section that will focus the beam to the sample. The beam with wrong spin state will be absorbed by the focusing part within the operating wavelength range.</w:t>
      </w:r>
    </w:p>
    <w:p w14:paraId="7C5C27BC" w14:textId="190F3B39" w:rsidR="00646471" w:rsidRPr="00B72C9F" w:rsidRDefault="00CE3CC7" w:rsidP="008B4E72">
      <w:pPr>
        <w:pStyle w:val="Paragraph"/>
        <w:jc w:val="center"/>
      </w:pPr>
      <w:r>
        <w:rPr>
          <w:noProof/>
          <w:lang w:val="sv-SE" w:eastAsia="sv-SE"/>
        </w:rPr>
        <w:drawing>
          <wp:inline distT="0" distB="0" distL="0" distR="0" wp14:anchorId="79EABC9F" wp14:editId="7D4B66CA">
            <wp:extent cx="2716446" cy="398819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3_b_rev2.png"/>
                    <pic:cNvPicPr/>
                  </pic:nvPicPr>
                  <pic:blipFill rotWithShape="1">
                    <a:blip r:embed="rId13" cstate="print">
                      <a:extLst>
                        <a:ext uri="{28A0092B-C50C-407E-A947-70E740481C1C}">
                          <a14:useLocalDpi xmlns:a14="http://schemas.microsoft.com/office/drawing/2010/main" val="0"/>
                        </a:ext>
                      </a:extLst>
                    </a:blip>
                    <a:srcRect l="29314" t="6958" r="7313"/>
                    <a:stretch/>
                  </pic:blipFill>
                  <pic:spPr bwMode="auto">
                    <a:xfrm>
                      <a:off x="0" y="0"/>
                      <a:ext cx="2738500" cy="4020571"/>
                    </a:xfrm>
                    <a:prstGeom prst="rect">
                      <a:avLst/>
                    </a:prstGeom>
                    <a:ln>
                      <a:noFill/>
                    </a:ln>
                    <a:extLst>
                      <a:ext uri="{53640926-AAD7-44D8-BBD7-CCE9431645EC}">
                        <a14:shadowObscured xmlns:a14="http://schemas.microsoft.com/office/drawing/2010/main"/>
                      </a:ext>
                    </a:extLst>
                  </pic:spPr>
                </pic:pic>
              </a:graphicData>
            </a:graphic>
          </wp:inline>
        </w:drawing>
      </w:r>
    </w:p>
    <w:p w14:paraId="1FED519D" w14:textId="33F227DE" w:rsidR="00201B9C" w:rsidRPr="00201B9C" w:rsidRDefault="002D42BC" w:rsidP="00201B9C">
      <w:pPr>
        <w:tabs>
          <w:tab w:val="left" w:pos="4536"/>
        </w:tabs>
        <w:spacing w:before="120" w:after="120"/>
        <w:rPr>
          <w:rFonts w:ascii="Times New Roman" w:hAnsi="Times New Roman"/>
          <w:b/>
          <w:bCs/>
          <w:sz w:val="18"/>
          <w:szCs w:val="18"/>
          <w:lang w:val="en-GB"/>
        </w:rPr>
      </w:pPr>
      <w:r>
        <w:rPr>
          <w:rFonts w:ascii="Times New Roman" w:hAnsi="Times New Roman"/>
          <w:b/>
          <w:bCs/>
          <w:sz w:val="18"/>
          <w:szCs w:val="18"/>
          <w:lang w:val="en-GB"/>
        </w:rPr>
        <w:t>F</w:t>
      </w:r>
      <w:r w:rsidR="00CE302E">
        <w:rPr>
          <w:rFonts w:ascii="Times New Roman" w:hAnsi="Times New Roman"/>
          <w:b/>
          <w:bCs/>
          <w:sz w:val="18"/>
          <w:szCs w:val="18"/>
          <w:lang w:val="en-GB"/>
        </w:rPr>
        <w:t>ig. 5</w:t>
      </w:r>
      <w:r w:rsidR="00201B9C" w:rsidRPr="006A58AE">
        <w:rPr>
          <w:rFonts w:ascii="Times New Roman" w:hAnsi="Times New Roman"/>
          <w:b/>
          <w:bCs/>
          <w:sz w:val="18"/>
          <w:szCs w:val="18"/>
          <w:lang w:val="en-GB"/>
        </w:rPr>
        <w:t xml:space="preserve">. </w:t>
      </w:r>
      <w:r w:rsidR="00201B9C">
        <w:rPr>
          <w:rFonts w:ascii="Times" w:hAnsi="Times"/>
          <w:sz w:val="18"/>
          <w:szCs w:val="18"/>
          <w:lang w:val="en-GB"/>
        </w:rPr>
        <w:t>Divergence distribution as a function of the wavelength of the neutron beam at MIRACLES before the polarizer.</w:t>
      </w:r>
    </w:p>
    <w:p w14:paraId="6A21F9A2" w14:textId="5718522F" w:rsidR="00D444EE" w:rsidRDefault="00CE302E" w:rsidP="00D444EE">
      <w:pPr>
        <w:pStyle w:val="Paragraph"/>
        <w:rPr>
          <w:rFonts w:cs="Times"/>
        </w:rPr>
      </w:pPr>
      <w:r>
        <w:t>Fig. 5</w:t>
      </w:r>
      <w:r w:rsidR="00D444EE">
        <w:t xml:space="preserve"> shows the divergence distribution as a function of wavelength in both hor</w:t>
      </w:r>
      <w:r w:rsidR="00125109">
        <w:t>izontal and vertical directio</w:t>
      </w:r>
      <w:r w:rsidR="00481412">
        <w:t>n before the polarizer</w:t>
      </w:r>
      <w:r w:rsidR="00125109">
        <w:t xml:space="preserve">.  It shows that in the case of the vertical direction the </w:t>
      </w:r>
      <w:r w:rsidR="003941A2">
        <w:t xml:space="preserve">maximum </w:t>
      </w:r>
      <w:r w:rsidR="00125109">
        <w:t>divergence</w:t>
      </w:r>
      <w:r w:rsidR="00262515">
        <w:t xml:space="preserve"> is smaller and is </w:t>
      </w:r>
      <w:r w:rsidR="003941A2">
        <w:t>wavelength</w:t>
      </w:r>
      <w:r w:rsidR="00262515">
        <w:t xml:space="preserve"> independent</w:t>
      </w:r>
      <w:r w:rsidR="003941A2">
        <w:t xml:space="preserve">. In the case of the distribution in the horizontal direction, the maximum divergence is larger and has a slight dependence with wavelength. </w:t>
      </w:r>
      <w:r w:rsidR="00537FA2">
        <w:t>If we take i</w:t>
      </w:r>
      <w:r w:rsidR="007A176D">
        <w:t>nto account the trends in fig. 3</w:t>
      </w:r>
      <w:r w:rsidR="00537FA2">
        <w:t xml:space="preserve">, where it is important to seek a large </w:t>
      </w:r>
      <w:proofErr w:type="spellStart"/>
      <w:r w:rsidR="00537FA2" w:rsidRPr="002D42BC">
        <w:rPr>
          <w:rFonts w:cs="Times"/>
          <w:i/>
        </w:rPr>
        <w:t>θ</w:t>
      </w:r>
      <w:r w:rsidR="00537FA2" w:rsidRPr="002D42BC">
        <w:rPr>
          <w:rFonts w:cs="Times"/>
          <w:i/>
          <w:vertAlign w:val="subscript"/>
        </w:rPr>
        <w:t>blade</w:t>
      </w:r>
      <w:proofErr w:type="spellEnd"/>
      <w:r w:rsidR="00537FA2">
        <w:rPr>
          <w:rFonts w:cs="Times"/>
        </w:rPr>
        <w:t xml:space="preserve">, a small maximum divergence would be more </w:t>
      </w:r>
      <w:r w:rsidR="00B02FB2">
        <w:rPr>
          <w:rFonts w:cs="Times"/>
        </w:rPr>
        <w:t>beneficial</w:t>
      </w:r>
      <w:r w:rsidR="007A176D">
        <w:rPr>
          <w:rFonts w:cs="Times"/>
        </w:rPr>
        <w:t>, apart from a wavelength independent divergence distribution</w:t>
      </w:r>
      <w:r w:rsidR="00537FA2">
        <w:rPr>
          <w:rFonts w:cs="Times"/>
        </w:rPr>
        <w:t>.</w:t>
      </w:r>
      <w:r w:rsidR="00537FA2">
        <w:t xml:space="preserve"> </w:t>
      </w:r>
      <w:r w:rsidR="003941A2" w:rsidRPr="00537FA2">
        <w:t>For</w:t>
      </w:r>
      <w:r w:rsidR="003941A2">
        <w:t xml:space="preserve"> this reason, the mirrors of the cavi</w:t>
      </w:r>
      <w:r w:rsidR="00EE71FD">
        <w:t>ty will be vertic</w:t>
      </w:r>
      <w:r w:rsidR="00003AD7">
        <w:t xml:space="preserve">ally arranged </w:t>
      </w:r>
      <w:r w:rsidR="00F45EE7">
        <w:t>(</w:t>
      </w:r>
      <w:proofErr w:type="spellStart"/>
      <w:r w:rsidR="00F45EE7">
        <w:t>i</w:t>
      </w:r>
      <w:proofErr w:type="spellEnd"/>
      <w:r w:rsidR="00F45EE7">
        <w:t xml:space="preserve">. e., where the plane of the mirrors contains the horizontal direction axis) </w:t>
      </w:r>
      <w:r w:rsidR="00003AD7">
        <w:t>and therefore</w:t>
      </w:r>
      <w:r w:rsidR="00537FA2">
        <w:t>, i</w:t>
      </w:r>
      <w:r w:rsidR="007A176D">
        <w:t>n the calculation of equation (2</w:t>
      </w:r>
      <w:r w:rsidR="00537FA2">
        <w:t>) we will take</w:t>
      </w:r>
      <w:r w:rsidR="00003AD7" w:rsidRPr="00003AD7">
        <w:rPr>
          <w:i/>
        </w:rPr>
        <w:t xml:space="preserve"> </w:t>
      </w:r>
      <w:proofErr w:type="spellStart"/>
      <w:r w:rsidR="00003AD7" w:rsidRPr="00003AD7">
        <w:rPr>
          <w:rFonts w:cs="Times"/>
          <w:i/>
        </w:rPr>
        <w:t>θ</w:t>
      </w:r>
      <w:r w:rsidR="00003AD7" w:rsidRPr="00003AD7">
        <w:rPr>
          <w:i/>
          <w:vertAlign w:val="subscript"/>
        </w:rPr>
        <w:t>div,max</w:t>
      </w:r>
      <w:proofErr w:type="spellEnd"/>
      <w:r w:rsidR="00003AD7">
        <w:t xml:space="preserve"> = 0.3</w:t>
      </w:r>
      <w:r w:rsidR="00003AD7">
        <w:rPr>
          <w:rFonts w:cs="Times"/>
        </w:rPr>
        <w:t xml:space="preserve">° . </w:t>
      </w:r>
      <w:r w:rsidR="0052028D">
        <w:rPr>
          <w:rFonts w:cs="Times"/>
        </w:rPr>
        <w:t xml:space="preserve">In addition to that, we will use </w:t>
      </w:r>
      <w:proofErr w:type="spellStart"/>
      <w:r w:rsidR="0052028D" w:rsidRPr="0052028D">
        <w:rPr>
          <w:rFonts w:cs="Times"/>
          <w:i/>
        </w:rPr>
        <w:t>λ</w:t>
      </w:r>
      <w:r w:rsidR="0052028D" w:rsidRPr="0052028D">
        <w:rPr>
          <w:i/>
          <w:vertAlign w:val="subscript"/>
        </w:rPr>
        <w:t>c</w:t>
      </w:r>
      <w:proofErr w:type="spellEnd"/>
      <w:r w:rsidR="0052028D">
        <w:t xml:space="preserve"> = 4.5 </w:t>
      </w:r>
      <w:r w:rsidR="0052028D">
        <w:rPr>
          <w:rFonts w:cs="Times"/>
        </w:rPr>
        <w:t xml:space="preserve">Å, in order to obtain the required polarization at the operating wavelength range. </w:t>
      </w:r>
    </w:p>
    <w:p w14:paraId="7A318C99" w14:textId="797AAFD0" w:rsidR="00AB1014" w:rsidRPr="002579A2" w:rsidRDefault="00B136EB" w:rsidP="002579A2">
      <w:pPr>
        <w:pStyle w:val="TableCaption"/>
      </w:pPr>
      <w:r>
        <w:rPr>
          <w:b/>
          <w:bCs/>
        </w:rPr>
        <w:t>Table 2</w:t>
      </w:r>
      <w:r w:rsidR="00AB1014" w:rsidRPr="00036AC2">
        <w:rPr>
          <w:b/>
          <w:bCs/>
        </w:rPr>
        <w:t>.</w:t>
      </w:r>
      <w:r w:rsidR="00AB1014" w:rsidRPr="00036AC2">
        <w:t xml:space="preserve"> </w:t>
      </w:r>
      <w:r>
        <w:t>Parameters of the simulated polarizers for MIRACLES</w:t>
      </w:r>
    </w:p>
    <w:tbl>
      <w:tblPr>
        <w:tblW w:w="1413" w:type="dxa"/>
        <w:jc w:val="center"/>
        <w:tblLayout w:type="fixed"/>
        <w:tblLook w:val="0000" w:firstRow="0" w:lastRow="0" w:firstColumn="0" w:lastColumn="0" w:noHBand="0" w:noVBand="0"/>
      </w:tblPr>
      <w:tblGrid>
        <w:gridCol w:w="562"/>
        <w:gridCol w:w="851"/>
      </w:tblGrid>
      <w:tr w:rsidR="00B136EB" w:rsidRPr="00036AC2" w14:paraId="4318565B" w14:textId="77777777" w:rsidTr="00B136EB">
        <w:trPr>
          <w:trHeight w:val="434"/>
          <w:jc w:val="center"/>
        </w:trPr>
        <w:tc>
          <w:tcPr>
            <w:tcW w:w="562" w:type="dxa"/>
            <w:tcBorders>
              <w:top w:val="single" w:sz="4" w:space="0" w:color="000000"/>
              <w:left w:val="single" w:sz="4" w:space="0" w:color="000000"/>
              <w:bottom w:val="single" w:sz="4" w:space="0" w:color="000000"/>
            </w:tcBorders>
            <w:vAlign w:val="center"/>
          </w:tcPr>
          <w:p w14:paraId="59EBC969" w14:textId="121554C6" w:rsidR="00B136EB" w:rsidRPr="009E32CC" w:rsidRDefault="00B136EB" w:rsidP="005F1181">
            <w:pPr>
              <w:pStyle w:val="TableHeadBold"/>
              <w:rPr>
                <w:i/>
              </w:rPr>
            </w:pPr>
            <w:r w:rsidRPr="009E32CC">
              <w:rPr>
                <w:i/>
              </w:rPr>
              <w:t>m</w:t>
            </w:r>
          </w:p>
        </w:tc>
        <w:tc>
          <w:tcPr>
            <w:tcW w:w="851" w:type="dxa"/>
            <w:tcBorders>
              <w:top w:val="single" w:sz="4" w:space="0" w:color="000000"/>
              <w:left w:val="single" w:sz="4" w:space="0" w:color="000000"/>
              <w:bottom w:val="single" w:sz="4" w:space="0" w:color="000000"/>
              <w:right w:val="single" w:sz="4" w:space="0" w:color="000000"/>
            </w:tcBorders>
            <w:vAlign w:val="center"/>
          </w:tcPr>
          <w:p w14:paraId="459A967D" w14:textId="695BA009" w:rsidR="00B136EB" w:rsidRPr="009E32CC" w:rsidRDefault="00B136EB" w:rsidP="005F1181">
            <w:pPr>
              <w:pStyle w:val="TableHeadBold"/>
              <w:rPr>
                <w:i/>
                <w:lang w:val="en-GB"/>
              </w:rPr>
            </w:pPr>
            <w:proofErr w:type="spellStart"/>
            <w:r w:rsidRPr="009E32CC">
              <w:rPr>
                <w:rFonts w:cs="Times"/>
                <w:i/>
              </w:rPr>
              <w:t>θ</w:t>
            </w:r>
            <w:r w:rsidRPr="009E32CC">
              <w:rPr>
                <w:i/>
                <w:vertAlign w:val="subscript"/>
              </w:rPr>
              <w:t>blade</w:t>
            </w:r>
            <w:proofErr w:type="spellEnd"/>
            <w:r w:rsidRPr="009E32CC">
              <w:t>(</w:t>
            </w:r>
            <w:r w:rsidRPr="009E32CC">
              <w:rPr>
                <w:rFonts w:cs="Times"/>
              </w:rPr>
              <w:t>°</w:t>
            </w:r>
            <w:r w:rsidRPr="009E32CC">
              <w:t>)</w:t>
            </w:r>
          </w:p>
        </w:tc>
      </w:tr>
      <w:tr w:rsidR="00B136EB" w:rsidRPr="00036AC2" w14:paraId="56E1010A" w14:textId="77777777" w:rsidTr="00B136EB">
        <w:trPr>
          <w:trHeight w:val="434"/>
          <w:jc w:val="center"/>
        </w:trPr>
        <w:tc>
          <w:tcPr>
            <w:tcW w:w="562" w:type="dxa"/>
            <w:tcBorders>
              <w:top w:val="single" w:sz="4" w:space="0" w:color="000000"/>
              <w:left w:val="single" w:sz="4" w:space="0" w:color="000000"/>
              <w:bottom w:val="single" w:sz="4" w:space="0" w:color="000000"/>
            </w:tcBorders>
            <w:vAlign w:val="center"/>
          </w:tcPr>
          <w:p w14:paraId="17B5C04C" w14:textId="78F6C968" w:rsidR="00B136EB" w:rsidRPr="00036AC2" w:rsidRDefault="00B136EB" w:rsidP="005F1181">
            <w:pPr>
              <w:pStyle w:val="Tablecontent"/>
            </w:pPr>
            <w:r>
              <w:t>2.4</w:t>
            </w:r>
          </w:p>
        </w:tc>
        <w:tc>
          <w:tcPr>
            <w:tcW w:w="851" w:type="dxa"/>
            <w:tcBorders>
              <w:top w:val="single" w:sz="4" w:space="0" w:color="000000"/>
              <w:left w:val="single" w:sz="4" w:space="0" w:color="000000"/>
              <w:bottom w:val="single" w:sz="4" w:space="0" w:color="000000"/>
              <w:right w:val="single" w:sz="4" w:space="0" w:color="000000"/>
            </w:tcBorders>
            <w:vAlign w:val="center"/>
          </w:tcPr>
          <w:p w14:paraId="329ED1EB" w14:textId="2F261747" w:rsidR="00B136EB" w:rsidRPr="00036AC2" w:rsidRDefault="00B136EB" w:rsidP="005F1181">
            <w:pPr>
              <w:pStyle w:val="Tablecontent"/>
            </w:pPr>
            <w:r>
              <w:t>0.78</w:t>
            </w:r>
          </w:p>
        </w:tc>
      </w:tr>
      <w:tr w:rsidR="00B136EB" w:rsidRPr="00036AC2" w14:paraId="2906A936" w14:textId="77777777" w:rsidTr="00B136EB">
        <w:trPr>
          <w:trHeight w:val="434"/>
          <w:jc w:val="center"/>
        </w:trPr>
        <w:tc>
          <w:tcPr>
            <w:tcW w:w="562" w:type="dxa"/>
            <w:tcBorders>
              <w:top w:val="single" w:sz="4" w:space="0" w:color="000000"/>
              <w:left w:val="single" w:sz="4" w:space="0" w:color="000000"/>
              <w:bottom w:val="single" w:sz="4" w:space="0" w:color="000000"/>
            </w:tcBorders>
            <w:vAlign w:val="center"/>
          </w:tcPr>
          <w:p w14:paraId="10F1B534" w14:textId="08E331A7" w:rsidR="00B136EB" w:rsidRPr="00036AC2" w:rsidRDefault="00B136EB" w:rsidP="005F1181">
            <w:pPr>
              <w:pStyle w:val="Tablecontent"/>
            </w:pPr>
            <w:r>
              <w:t>2.6</w:t>
            </w:r>
          </w:p>
        </w:tc>
        <w:tc>
          <w:tcPr>
            <w:tcW w:w="851" w:type="dxa"/>
            <w:tcBorders>
              <w:top w:val="single" w:sz="4" w:space="0" w:color="000000"/>
              <w:left w:val="single" w:sz="4" w:space="0" w:color="000000"/>
              <w:bottom w:val="single" w:sz="4" w:space="0" w:color="000000"/>
              <w:right w:val="single" w:sz="4" w:space="0" w:color="000000"/>
            </w:tcBorders>
            <w:vAlign w:val="center"/>
          </w:tcPr>
          <w:p w14:paraId="23C133D4" w14:textId="0BDD7324" w:rsidR="00B136EB" w:rsidRPr="00036AC2" w:rsidRDefault="00B136EB" w:rsidP="005F1181">
            <w:pPr>
              <w:pStyle w:val="Tablecontent"/>
            </w:pPr>
            <w:r>
              <w:t>0.87</w:t>
            </w:r>
          </w:p>
        </w:tc>
      </w:tr>
      <w:tr w:rsidR="00B136EB" w:rsidRPr="00036AC2" w14:paraId="39D6B1D4" w14:textId="77777777" w:rsidTr="00B136EB">
        <w:trPr>
          <w:trHeight w:val="434"/>
          <w:jc w:val="center"/>
        </w:trPr>
        <w:tc>
          <w:tcPr>
            <w:tcW w:w="562" w:type="dxa"/>
            <w:tcBorders>
              <w:top w:val="single" w:sz="4" w:space="0" w:color="000000"/>
              <w:left w:val="single" w:sz="4" w:space="0" w:color="000000"/>
              <w:bottom w:val="single" w:sz="4" w:space="0" w:color="000000"/>
            </w:tcBorders>
            <w:vAlign w:val="center"/>
          </w:tcPr>
          <w:p w14:paraId="7F964D9C" w14:textId="345D3E62" w:rsidR="00B136EB" w:rsidRPr="00036AC2" w:rsidRDefault="00B136EB" w:rsidP="005F1181">
            <w:pPr>
              <w:pStyle w:val="Tablecontent"/>
            </w:pPr>
            <w:r>
              <w:t>2.8</w:t>
            </w:r>
          </w:p>
        </w:tc>
        <w:tc>
          <w:tcPr>
            <w:tcW w:w="851" w:type="dxa"/>
            <w:tcBorders>
              <w:top w:val="single" w:sz="4" w:space="0" w:color="000000"/>
              <w:left w:val="single" w:sz="4" w:space="0" w:color="000000"/>
              <w:bottom w:val="single" w:sz="4" w:space="0" w:color="000000"/>
              <w:right w:val="single" w:sz="4" w:space="0" w:color="000000"/>
            </w:tcBorders>
            <w:vAlign w:val="center"/>
          </w:tcPr>
          <w:p w14:paraId="442C6770" w14:textId="21F5B66B" w:rsidR="00B136EB" w:rsidRPr="00036AC2" w:rsidRDefault="00B136EB" w:rsidP="005F1181">
            <w:pPr>
              <w:pStyle w:val="Tablecontent"/>
            </w:pPr>
            <w:r>
              <w:t>0.96</w:t>
            </w:r>
          </w:p>
        </w:tc>
      </w:tr>
      <w:tr w:rsidR="00B136EB" w:rsidRPr="00036AC2" w14:paraId="0E2DE0D0" w14:textId="77777777" w:rsidTr="00B136EB">
        <w:trPr>
          <w:trHeight w:val="434"/>
          <w:jc w:val="center"/>
        </w:trPr>
        <w:tc>
          <w:tcPr>
            <w:tcW w:w="562" w:type="dxa"/>
            <w:tcBorders>
              <w:top w:val="single" w:sz="4" w:space="0" w:color="000000"/>
              <w:left w:val="single" w:sz="4" w:space="0" w:color="000000"/>
              <w:bottom w:val="single" w:sz="4" w:space="0" w:color="000000"/>
            </w:tcBorders>
            <w:vAlign w:val="center"/>
          </w:tcPr>
          <w:p w14:paraId="585BFB73" w14:textId="2A841B25" w:rsidR="00B136EB" w:rsidRDefault="00B136EB" w:rsidP="005F1181">
            <w:pPr>
              <w:pStyle w:val="Tablecontent"/>
            </w:pPr>
            <w:r>
              <w:t>3.0</w:t>
            </w:r>
          </w:p>
        </w:tc>
        <w:tc>
          <w:tcPr>
            <w:tcW w:w="851" w:type="dxa"/>
            <w:tcBorders>
              <w:top w:val="single" w:sz="4" w:space="0" w:color="000000"/>
              <w:left w:val="single" w:sz="4" w:space="0" w:color="000000"/>
              <w:bottom w:val="single" w:sz="4" w:space="0" w:color="000000"/>
              <w:right w:val="single" w:sz="4" w:space="0" w:color="000000"/>
            </w:tcBorders>
            <w:vAlign w:val="center"/>
          </w:tcPr>
          <w:p w14:paraId="5BCA5B8B" w14:textId="6078FC05" w:rsidR="00B136EB" w:rsidRDefault="00B136EB" w:rsidP="005F1181">
            <w:pPr>
              <w:pStyle w:val="Tablecontent"/>
            </w:pPr>
            <w:r>
              <w:t>1.05</w:t>
            </w:r>
          </w:p>
        </w:tc>
      </w:tr>
    </w:tbl>
    <w:p w14:paraId="2322D8FE" w14:textId="77777777" w:rsidR="00AB1014" w:rsidRPr="00003AD7" w:rsidRDefault="00AB1014" w:rsidP="00D444EE">
      <w:pPr>
        <w:pStyle w:val="Paragraph"/>
      </w:pPr>
    </w:p>
    <w:p w14:paraId="2E949C20" w14:textId="3239ED31" w:rsidR="003941A2" w:rsidRPr="002579A2" w:rsidRDefault="00B136EB" w:rsidP="00D444EE">
      <w:pPr>
        <w:pStyle w:val="Paragraph"/>
      </w:pPr>
      <w:r>
        <w:lastRenderedPageBreak/>
        <w:t>Table 2</w:t>
      </w:r>
      <w:r w:rsidR="00347450">
        <w:t xml:space="preserve"> shows the parameters of the simulated polarizers.</w:t>
      </w:r>
      <w:r>
        <w:t xml:space="preserve"> In order to observe the angular dependence of the performance, </w:t>
      </w:r>
      <w:r w:rsidR="002579A2">
        <w:t xml:space="preserve">we will also perform simulations for each polarizer with values of </w:t>
      </w:r>
      <w:proofErr w:type="spellStart"/>
      <w:r w:rsidR="002579A2" w:rsidRPr="002D42BC">
        <w:rPr>
          <w:rFonts w:cs="Times"/>
          <w:i/>
        </w:rPr>
        <w:t>θ</w:t>
      </w:r>
      <w:r w:rsidR="002579A2" w:rsidRPr="002D42BC">
        <w:rPr>
          <w:i/>
          <w:vertAlign w:val="subscript"/>
        </w:rPr>
        <w:t>blade</w:t>
      </w:r>
      <w:proofErr w:type="spellEnd"/>
      <w:r w:rsidR="002579A2">
        <w:t xml:space="preserve"> </w:t>
      </w:r>
      <w:r w:rsidR="002579A2">
        <w:rPr>
          <w:rFonts w:cs="Times"/>
        </w:rPr>
        <w:t>±</w:t>
      </w:r>
      <w:r w:rsidR="002579A2">
        <w:t xml:space="preserve"> 0.02</w:t>
      </w:r>
      <w:r w:rsidR="002579A2">
        <w:rPr>
          <w:rFonts w:cs="Times"/>
        </w:rPr>
        <w:t xml:space="preserve">° for a given value of </w:t>
      </w:r>
      <w:r w:rsidR="002579A2" w:rsidRPr="002D42BC">
        <w:rPr>
          <w:rFonts w:cs="Times"/>
          <w:i/>
        </w:rPr>
        <w:t>m</w:t>
      </w:r>
      <w:r w:rsidR="002579A2">
        <w:rPr>
          <w:rFonts w:cs="Times"/>
        </w:rPr>
        <w:t>. This will be represented in the following figures as a shade.</w:t>
      </w:r>
      <w:r w:rsidR="00537FA2">
        <w:rPr>
          <w:rFonts w:cs="Times"/>
        </w:rPr>
        <w:t xml:space="preserve"> The polarizers will be simulated as single channel as the optimal length will be later determined by the engineering requirements</w:t>
      </w:r>
      <w:r w:rsidR="002D42BC">
        <w:rPr>
          <w:rFonts w:cs="Times"/>
        </w:rPr>
        <w:t xml:space="preserve"> and constraints</w:t>
      </w:r>
      <w:r w:rsidR="00537FA2">
        <w:rPr>
          <w:rFonts w:cs="Times"/>
        </w:rPr>
        <w:t>.</w:t>
      </w:r>
      <w:r w:rsidR="007A176D">
        <w:rPr>
          <w:rFonts w:cs="Times"/>
        </w:rPr>
        <w:t xml:space="preserve"> </w:t>
      </w:r>
      <w:r w:rsidR="00262515">
        <w:rPr>
          <w:rFonts w:cs="Times"/>
        </w:rPr>
        <w:t>The total length of the device will depend on the available space and a compromise has to be reached in order to have feasible alignment requirements. Of course, beam losses due to channel separators have to be considered in further studies.</w:t>
      </w:r>
      <w:r w:rsidR="00FE394B">
        <w:rPr>
          <w:rFonts w:cs="Times"/>
        </w:rPr>
        <w:t xml:space="preserve"> The polarizer will have the V-cavity pointing upstream.</w:t>
      </w:r>
    </w:p>
    <w:p w14:paraId="1C82D410" w14:textId="40C04FBE" w:rsidR="006A58AE" w:rsidRPr="003B1B6C" w:rsidRDefault="003B1B6C" w:rsidP="003B1B6C">
      <w:pPr>
        <w:pStyle w:val="Paragraphfirst"/>
        <w:jc w:val="center"/>
      </w:pPr>
      <w:r>
        <w:rPr>
          <w:noProof/>
          <w:lang w:val="sv-SE" w:eastAsia="sv-SE"/>
        </w:rPr>
        <w:drawing>
          <wp:inline distT="0" distB="0" distL="0" distR="0" wp14:anchorId="194FFD09" wp14:editId="641FC21B">
            <wp:extent cx="2938915" cy="215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3.png"/>
                    <pic:cNvPicPr/>
                  </pic:nvPicPr>
                  <pic:blipFill rotWithShape="1">
                    <a:blip r:embed="rId14">
                      <a:extLst>
                        <a:ext uri="{28A0092B-C50C-407E-A947-70E740481C1C}">
                          <a14:useLocalDpi xmlns:a14="http://schemas.microsoft.com/office/drawing/2010/main" val="0"/>
                        </a:ext>
                      </a:extLst>
                    </a:blip>
                    <a:srcRect t="9271" r="7378"/>
                    <a:stretch/>
                  </pic:blipFill>
                  <pic:spPr bwMode="auto">
                    <a:xfrm>
                      <a:off x="0" y="0"/>
                      <a:ext cx="2946376" cy="2164481"/>
                    </a:xfrm>
                    <a:prstGeom prst="rect">
                      <a:avLst/>
                    </a:prstGeom>
                    <a:ln>
                      <a:noFill/>
                    </a:ln>
                    <a:extLst>
                      <a:ext uri="{53640926-AAD7-44D8-BBD7-CCE9431645EC}">
                        <a14:shadowObscured xmlns:a14="http://schemas.microsoft.com/office/drawing/2010/main"/>
                      </a:ext>
                    </a:extLst>
                  </pic:spPr>
                </pic:pic>
              </a:graphicData>
            </a:graphic>
          </wp:inline>
        </w:drawing>
      </w:r>
    </w:p>
    <w:p w14:paraId="59675E8D" w14:textId="2F3319C8" w:rsidR="006A58AE" w:rsidRPr="006A58AE" w:rsidRDefault="00CE302E" w:rsidP="006A58AE">
      <w:pPr>
        <w:tabs>
          <w:tab w:val="left" w:pos="4536"/>
        </w:tabs>
        <w:spacing w:before="120" w:after="120"/>
        <w:rPr>
          <w:rFonts w:ascii="Times New Roman" w:hAnsi="Times New Roman"/>
          <w:b/>
          <w:bCs/>
          <w:sz w:val="18"/>
          <w:szCs w:val="18"/>
          <w:lang w:val="en-GB"/>
        </w:rPr>
      </w:pPr>
      <w:r>
        <w:rPr>
          <w:rFonts w:ascii="Times New Roman" w:hAnsi="Times New Roman"/>
          <w:b/>
          <w:bCs/>
          <w:sz w:val="18"/>
          <w:szCs w:val="18"/>
          <w:lang w:val="en-GB"/>
        </w:rPr>
        <w:t>Fig. 6</w:t>
      </w:r>
      <w:r w:rsidR="006A58AE" w:rsidRPr="006A58AE">
        <w:rPr>
          <w:rFonts w:ascii="Times New Roman" w:hAnsi="Times New Roman"/>
          <w:b/>
          <w:bCs/>
          <w:sz w:val="18"/>
          <w:szCs w:val="18"/>
          <w:lang w:val="en-GB"/>
        </w:rPr>
        <w:t xml:space="preserve">. </w:t>
      </w:r>
      <w:r w:rsidR="006A58AE">
        <w:rPr>
          <w:rFonts w:ascii="Times" w:hAnsi="Times"/>
          <w:sz w:val="18"/>
          <w:szCs w:val="18"/>
          <w:lang w:val="en-GB"/>
        </w:rPr>
        <w:t>Polarization</w:t>
      </w:r>
      <w:r w:rsidR="00207E75">
        <w:rPr>
          <w:rFonts w:ascii="Times" w:hAnsi="Times"/>
          <w:sz w:val="18"/>
          <w:szCs w:val="18"/>
          <w:lang w:val="en-GB"/>
        </w:rPr>
        <w:t xml:space="preserve"> at the sample position</w:t>
      </w:r>
      <w:r w:rsidR="006A58AE">
        <w:rPr>
          <w:rFonts w:ascii="Times" w:hAnsi="Times"/>
          <w:sz w:val="18"/>
          <w:szCs w:val="18"/>
          <w:lang w:val="en-GB"/>
        </w:rPr>
        <w:t xml:space="preserve"> </w:t>
      </w:r>
      <w:r w:rsidR="00207E75">
        <w:rPr>
          <w:rFonts w:ascii="Times" w:hAnsi="Times"/>
          <w:sz w:val="18"/>
          <w:szCs w:val="18"/>
          <w:lang w:val="en-GB"/>
        </w:rPr>
        <w:t>as a function of wavelength for</w:t>
      </w:r>
      <w:r w:rsidR="006A58AE">
        <w:rPr>
          <w:rFonts w:ascii="Times" w:hAnsi="Times"/>
          <w:sz w:val="18"/>
          <w:szCs w:val="18"/>
          <w:lang w:val="en-GB"/>
        </w:rPr>
        <w:t xml:space="preserve"> the simulated polarizers </w:t>
      </w:r>
      <w:r w:rsidR="00207E75">
        <w:rPr>
          <w:rFonts w:ascii="Times" w:hAnsi="Times"/>
          <w:sz w:val="18"/>
          <w:szCs w:val="18"/>
          <w:lang w:val="en-GB"/>
        </w:rPr>
        <w:t xml:space="preserve">in MIRACLES </w:t>
      </w:r>
      <w:r w:rsidR="00922D13">
        <w:rPr>
          <w:rFonts w:ascii="Times" w:hAnsi="Times"/>
          <w:sz w:val="18"/>
          <w:szCs w:val="18"/>
          <w:lang w:val="en-GB"/>
        </w:rPr>
        <w:t>described in table 2</w:t>
      </w:r>
      <w:r w:rsidR="00207E75">
        <w:rPr>
          <w:rFonts w:ascii="Times" w:hAnsi="Times"/>
          <w:sz w:val="18"/>
          <w:szCs w:val="18"/>
          <w:lang w:val="en-GB"/>
        </w:rPr>
        <w:t xml:space="preserve">. The shady areas show the variation of the polarization modifying the nominal </w:t>
      </w:r>
      <w:proofErr w:type="spellStart"/>
      <w:r w:rsidR="00207E75" w:rsidRPr="00213A0F">
        <w:rPr>
          <w:rFonts w:ascii="Times" w:hAnsi="Times" w:cs="Times"/>
          <w:i/>
          <w:sz w:val="18"/>
          <w:szCs w:val="18"/>
          <w:lang w:val="en-GB"/>
        </w:rPr>
        <w:t>θ</w:t>
      </w:r>
      <w:r w:rsidR="00207E75" w:rsidRPr="00213A0F">
        <w:rPr>
          <w:rFonts w:ascii="Times" w:hAnsi="Times"/>
          <w:i/>
          <w:sz w:val="18"/>
          <w:szCs w:val="18"/>
          <w:vertAlign w:val="subscript"/>
          <w:lang w:val="en-GB"/>
        </w:rPr>
        <w:t>blade</w:t>
      </w:r>
      <w:proofErr w:type="spellEnd"/>
      <w:r w:rsidR="00922D13">
        <w:rPr>
          <w:rFonts w:ascii="Times" w:hAnsi="Times"/>
          <w:sz w:val="18"/>
          <w:szCs w:val="18"/>
          <w:lang w:val="en-GB"/>
        </w:rPr>
        <w:t xml:space="preserve"> shown in table 2</w:t>
      </w:r>
      <w:r w:rsidR="00207E75">
        <w:rPr>
          <w:rFonts w:ascii="Times" w:hAnsi="Times"/>
          <w:sz w:val="18"/>
          <w:szCs w:val="18"/>
          <w:lang w:val="en-GB"/>
        </w:rPr>
        <w:t xml:space="preserve"> in a range of </w:t>
      </w:r>
      <w:r w:rsidR="00207E75">
        <w:rPr>
          <w:rFonts w:ascii="Times" w:hAnsi="Times" w:cs="Times"/>
          <w:sz w:val="18"/>
          <w:szCs w:val="18"/>
          <w:lang w:val="en-GB"/>
        </w:rPr>
        <w:t>±</w:t>
      </w:r>
      <w:r w:rsidR="00207E75">
        <w:rPr>
          <w:rFonts w:ascii="Times" w:hAnsi="Times"/>
          <w:sz w:val="18"/>
          <w:szCs w:val="18"/>
          <w:lang w:val="en-GB"/>
        </w:rPr>
        <w:t xml:space="preserve"> 0.02</w:t>
      </w:r>
      <w:r w:rsidR="00207E75">
        <w:rPr>
          <w:rFonts w:ascii="Times" w:hAnsi="Times" w:cs="Times"/>
          <w:sz w:val="18"/>
          <w:szCs w:val="18"/>
          <w:lang w:val="en-GB"/>
        </w:rPr>
        <w:t>°</w:t>
      </w:r>
      <w:r w:rsidR="00912D0F">
        <w:rPr>
          <w:rFonts w:ascii="Times" w:hAnsi="Times" w:cs="Times"/>
          <w:sz w:val="18"/>
          <w:szCs w:val="18"/>
          <w:lang w:val="en-GB"/>
        </w:rPr>
        <w:t>.</w:t>
      </w:r>
    </w:p>
    <w:p w14:paraId="627869B4" w14:textId="44E4C267" w:rsidR="00CE3CC7" w:rsidRDefault="00CE302E" w:rsidP="00CE3CC7">
      <w:pPr>
        <w:pStyle w:val="Paragraph"/>
      </w:pPr>
      <w:r>
        <w:t>Fig. 6</w:t>
      </w:r>
      <w:r w:rsidR="00D91E7D">
        <w:t xml:space="preserve"> shows the polarization of the simulated</w:t>
      </w:r>
      <w:r w:rsidR="003D2E7C">
        <w:t xml:space="preserve"> polarizers described in table 2</w:t>
      </w:r>
      <w:r w:rsidR="00D91E7D">
        <w:t xml:space="preserve"> as a function of wavelength. The shady areas show </w:t>
      </w:r>
      <w:r w:rsidR="00A20191">
        <w:t>variations</w:t>
      </w:r>
      <w:r w:rsidR="00D91E7D">
        <w:t xml:space="preserve"> in the polarization performance if </w:t>
      </w:r>
      <w:proofErr w:type="spellStart"/>
      <w:r w:rsidR="00D91E7D" w:rsidRPr="00BD45C1">
        <w:rPr>
          <w:rFonts w:cs="Times"/>
          <w:i/>
        </w:rPr>
        <w:t>θ</w:t>
      </w:r>
      <w:r w:rsidR="00D91E7D" w:rsidRPr="00BD45C1">
        <w:rPr>
          <w:i/>
          <w:vertAlign w:val="subscript"/>
        </w:rPr>
        <w:t>blade</w:t>
      </w:r>
      <w:proofErr w:type="spellEnd"/>
      <w:r w:rsidR="00D91E7D">
        <w:t xml:space="preserve"> is modified in the range of </w:t>
      </w:r>
      <w:r w:rsidR="00A20191">
        <w:rPr>
          <w:rFonts w:cs="Times"/>
        </w:rPr>
        <w:t>±</w:t>
      </w:r>
      <w:r w:rsidR="00A20191">
        <w:t xml:space="preserve"> 0.02</w:t>
      </w:r>
      <w:r w:rsidR="00A20191">
        <w:rPr>
          <w:rFonts w:cs="Times"/>
        </w:rPr>
        <w:t>°</w:t>
      </w:r>
      <w:r w:rsidR="00A20191">
        <w:t xml:space="preserve"> from the nominal value. In this case, all the studied polarizers produce a neutron beam </w:t>
      </w:r>
      <w:r w:rsidR="003D2E7C">
        <w:t xml:space="preserve">with the required polarization. The curves look very similar and variations in </w:t>
      </w:r>
      <w:proofErr w:type="spellStart"/>
      <w:r w:rsidR="003D2E7C" w:rsidRPr="00BD45C1">
        <w:rPr>
          <w:rFonts w:cs="Times"/>
          <w:i/>
        </w:rPr>
        <w:t>θ</w:t>
      </w:r>
      <w:r w:rsidR="003D2E7C" w:rsidRPr="00BD45C1">
        <w:rPr>
          <w:i/>
          <w:vertAlign w:val="subscript"/>
        </w:rPr>
        <w:t>blade</w:t>
      </w:r>
      <w:proofErr w:type="spellEnd"/>
      <w:r w:rsidR="003D2E7C">
        <w:t xml:space="preserve"> still fulfil the requirements</w:t>
      </w:r>
      <w:r w:rsidR="00A20191">
        <w:t>.</w:t>
      </w:r>
    </w:p>
    <w:p w14:paraId="08E2761A" w14:textId="6639537A" w:rsidR="006A58AE" w:rsidRDefault="00CE3CC7" w:rsidP="00CE3CC7">
      <w:pPr>
        <w:pStyle w:val="Paragraph"/>
        <w:ind w:firstLine="0"/>
        <w:jc w:val="center"/>
      </w:pPr>
      <w:r>
        <w:rPr>
          <w:noProof/>
          <w:lang w:val="sv-SE" w:eastAsia="sv-SE"/>
        </w:rPr>
        <w:drawing>
          <wp:inline distT="0" distB="0" distL="0" distR="0" wp14:anchorId="050C2D43" wp14:editId="18C22A58">
            <wp:extent cx="3011373"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4_rev2.png"/>
                    <pic:cNvPicPr/>
                  </pic:nvPicPr>
                  <pic:blipFill rotWithShape="1">
                    <a:blip r:embed="rId15">
                      <a:extLst>
                        <a:ext uri="{28A0092B-C50C-407E-A947-70E740481C1C}">
                          <a14:useLocalDpi xmlns:a14="http://schemas.microsoft.com/office/drawing/2010/main" val="0"/>
                        </a:ext>
                      </a:extLst>
                    </a:blip>
                    <a:srcRect t="9937" r="7319"/>
                    <a:stretch/>
                  </pic:blipFill>
                  <pic:spPr bwMode="auto">
                    <a:xfrm>
                      <a:off x="0" y="0"/>
                      <a:ext cx="3047156" cy="2220637"/>
                    </a:xfrm>
                    <a:prstGeom prst="rect">
                      <a:avLst/>
                    </a:prstGeom>
                    <a:ln>
                      <a:noFill/>
                    </a:ln>
                    <a:extLst>
                      <a:ext uri="{53640926-AAD7-44D8-BBD7-CCE9431645EC}">
                        <a14:shadowObscured xmlns:a14="http://schemas.microsoft.com/office/drawing/2010/main"/>
                      </a:ext>
                    </a:extLst>
                  </pic:spPr>
                </pic:pic>
              </a:graphicData>
            </a:graphic>
          </wp:inline>
        </w:drawing>
      </w:r>
    </w:p>
    <w:p w14:paraId="47E73EA7" w14:textId="65D607C7" w:rsidR="006A58AE" w:rsidRPr="006A58AE" w:rsidRDefault="00CE302E" w:rsidP="006A58AE">
      <w:pPr>
        <w:tabs>
          <w:tab w:val="left" w:pos="4536"/>
        </w:tabs>
        <w:spacing w:before="120" w:after="120"/>
        <w:rPr>
          <w:rFonts w:ascii="Times New Roman" w:hAnsi="Times New Roman"/>
          <w:b/>
          <w:bCs/>
          <w:sz w:val="18"/>
          <w:szCs w:val="18"/>
          <w:lang w:val="en-GB"/>
        </w:rPr>
      </w:pPr>
      <w:r>
        <w:rPr>
          <w:rFonts w:ascii="Times New Roman" w:hAnsi="Times New Roman"/>
          <w:b/>
          <w:bCs/>
          <w:sz w:val="18"/>
          <w:szCs w:val="18"/>
          <w:lang w:val="en-GB"/>
        </w:rPr>
        <w:t>Fig. 7</w:t>
      </w:r>
      <w:r w:rsidR="006A58AE" w:rsidRPr="006A58AE">
        <w:rPr>
          <w:rFonts w:ascii="Times New Roman" w:hAnsi="Times New Roman"/>
          <w:b/>
          <w:bCs/>
          <w:sz w:val="18"/>
          <w:szCs w:val="18"/>
          <w:lang w:val="en-GB"/>
        </w:rPr>
        <w:t xml:space="preserve">. </w:t>
      </w:r>
      <w:r w:rsidR="004D080F">
        <w:rPr>
          <w:rFonts w:ascii="Times New Roman" w:hAnsi="Times New Roman"/>
          <w:bCs/>
          <w:sz w:val="18"/>
          <w:szCs w:val="18"/>
          <w:lang w:val="en-GB"/>
        </w:rPr>
        <w:t xml:space="preserve">Corrected </w:t>
      </w:r>
      <w:r w:rsidR="004D080F">
        <w:rPr>
          <w:rFonts w:ascii="Times" w:hAnsi="Times"/>
          <w:sz w:val="18"/>
          <w:szCs w:val="18"/>
          <w:lang w:val="en-GB"/>
        </w:rPr>
        <w:t>t</w:t>
      </w:r>
      <w:r w:rsidR="00105C90">
        <w:rPr>
          <w:rFonts w:ascii="Times" w:hAnsi="Times"/>
          <w:sz w:val="18"/>
          <w:szCs w:val="18"/>
          <w:lang w:val="en-GB"/>
        </w:rPr>
        <w:t xml:space="preserve">ransmission at the sample position as a function of wavelength for the simulated polarizers </w:t>
      </w:r>
      <w:r w:rsidR="003D2E7C">
        <w:rPr>
          <w:rFonts w:ascii="Times" w:hAnsi="Times"/>
          <w:sz w:val="18"/>
          <w:szCs w:val="18"/>
          <w:lang w:val="en-GB"/>
        </w:rPr>
        <w:t>in MIRACLES described in table 2</w:t>
      </w:r>
      <w:r w:rsidR="00105C90">
        <w:rPr>
          <w:rFonts w:ascii="Times" w:hAnsi="Times"/>
          <w:sz w:val="18"/>
          <w:szCs w:val="18"/>
          <w:lang w:val="en-GB"/>
        </w:rPr>
        <w:t xml:space="preserve">. The shady areas show the variation of the transmission modifying the nominal </w:t>
      </w:r>
      <w:proofErr w:type="spellStart"/>
      <w:r w:rsidR="00105C90" w:rsidRPr="00213A0F">
        <w:rPr>
          <w:rFonts w:ascii="Times" w:hAnsi="Times" w:cs="Times"/>
          <w:i/>
          <w:sz w:val="18"/>
          <w:szCs w:val="18"/>
          <w:lang w:val="en-GB"/>
        </w:rPr>
        <w:t>θ</w:t>
      </w:r>
      <w:r w:rsidR="00105C90" w:rsidRPr="00213A0F">
        <w:rPr>
          <w:rFonts w:ascii="Times" w:hAnsi="Times"/>
          <w:i/>
          <w:sz w:val="18"/>
          <w:szCs w:val="18"/>
          <w:vertAlign w:val="subscript"/>
          <w:lang w:val="en-GB"/>
        </w:rPr>
        <w:t>blade</w:t>
      </w:r>
      <w:proofErr w:type="spellEnd"/>
      <w:r w:rsidR="00BD45C1">
        <w:rPr>
          <w:rFonts w:ascii="Times" w:hAnsi="Times"/>
          <w:sz w:val="18"/>
          <w:szCs w:val="18"/>
          <w:lang w:val="en-GB"/>
        </w:rPr>
        <w:t xml:space="preserve"> shown in table 2</w:t>
      </w:r>
      <w:r w:rsidR="00105C90">
        <w:rPr>
          <w:rFonts w:ascii="Times" w:hAnsi="Times"/>
          <w:sz w:val="18"/>
          <w:szCs w:val="18"/>
          <w:lang w:val="en-GB"/>
        </w:rPr>
        <w:t xml:space="preserve"> in a range of </w:t>
      </w:r>
      <w:r w:rsidR="00105C90">
        <w:rPr>
          <w:rFonts w:ascii="Times" w:hAnsi="Times" w:cs="Times"/>
          <w:sz w:val="18"/>
          <w:szCs w:val="18"/>
          <w:lang w:val="en-GB"/>
        </w:rPr>
        <w:t>±</w:t>
      </w:r>
      <w:r w:rsidR="00105C90">
        <w:rPr>
          <w:rFonts w:ascii="Times" w:hAnsi="Times"/>
          <w:sz w:val="18"/>
          <w:szCs w:val="18"/>
          <w:lang w:val="en-GB"/>
        </w:rPr>
        <w:t xml:space="preserve"> 0.02</w:t>
      </w:r>
      <w:r w:rsidR="00105C90">
        <w:rPr>
          <w:rFonts w:ascii="Times" w:hAnsi="Times" w:cs="Times"/>
          <w:sz w:val="18"/>
          <w:szCs w:val="18"/>
          <w:lang w:val="en-GB"/>
        </w:rPr>
        <w:t>°</w:t>
      </w:r>
      <w:r w:rsidR="00912D0F">
        <w:rPr>
          <w:rFonts w:ascii="Times" w:hAnsi="Times" w:cs="Times"/>
          <w:sz w:val="18"/>
          <w:szCs w:val="18"/>
          <w:lang w:val="en-GB"/>
        </w:rPr>
        <w:t>.</w:t>
      </w:r>
    </w:p>
    <w:p w14:paraId="4A75694C" w14:textId="5D9A7216" w:rsidR="006A58AE" w:rsidRDefault="00CE302E" w:rsidP="00D444EE">
      <w:pPr>
        <w:pStyle w:val="Paragraph"/>
      </w:pPr>
      <w:r>
        <w:t>Fig. 7</w:t>
      </w:r>
      <w:r w:rsidR="00A20191">
        <w:t xml:space="preserve"> shows the </w:t>
      </w:r>
      <w:r>
        <w:t xml:space="preserve">corrected </w:t>
      </w:r>
      <w:r w:rsidR="00A20191">
        <w:t xml:space="preserve">transmission </w:t>
      </w:r>
      <w:r>
        <w:t>(</w:t>
      </w:r>
      <w:proofErr w:type="spellStart"/>
      <w:r>
        <w:t>i</w:t>
      </w:r>
      <w:proofErr w:type="spellEnd"/>
      <w:r>
        <w:t>. e., the transmission taking i</w:t>
      </w:r>
      <w:r w:rsidR="00EC39D2">
        <w:t xml:space="preserve">nto account the Si absorption) </w:t>
      </w:r>
      <w:r w:rsidR="00A20191">
        <w:t xml:space="preserve">as a function of the wavelength for the </w:t>
      </w:r>
      <w:r>
        <w:t>studied polarizers. As in fig. 7</w:t>
      </w:r>
      <w:r w:rsidR="00A20191">
        <w:t xml:space="preserve">, the shady areas correspond to the variations in transmission performance if </w:t>
      </w:r>
      <w:proofErr w:type="spellStart"/>
      <w:r w:rsidR="00A20191" w:rsidRPr="001E3CF9">
        <w:rPr>
          <w:rFonts w:cs="Times"/>
          <w:i/>
        </w:rPr>
        <w:t>θ</w:t>
      </w:r>
      <w:r w:rsidR="00A20191" w:rsidRPr="001E3CF9">
        <w:rPr>
          <w:i/>
          <w:vertAlign w:val="subscript"/>
        </w:rPr>
        <w:t>blade</w:t>
      </w:r>
      <w:proofErr w:type="spellEnd"/>
      <w:r w:rsidR="00A20191">
        <w:t xml:space="preserve"> is modified in the range of </w:t>
      </w:r>
      <w:r w:rsidR="00A20191">
        <w:rPr>
          <w:rFonts w:cs="Times"/>
        </w:rPr>
        <w:t>±</w:t>
      </w:r>
      <w:r w:rsidR="00A20191">
        <w:t xml:space="preserve"> 0.02</w:t>
      </w:r>
      <w:r w:rsidR="00A20191">
        <w:rPr>
          <w:rFonts w:cs="Times"/>
        </w:rPr>
        <w:t xml:space="preserve">° from the nominal value found in table </w:t>
      </w:r>
      <w:r w:rsidR="002579A2">
        <w:rPr>
          <w:rFonts w:cs="Times"/>
        </w:rPr>
        <w:t>2</w:t>
      </w:r>
      <w:r w:rsidR="00A20191">
        <w:rPr>
          <w:rFonts w:cs="Times"/>
        </w:rPr>
        <w:t>.</w:t>
      </w:r>
      <w:r w:rsidR="003D2E7C">
        <w:rPr>
          <w:rFonts w:cs="Times"/>
        </w:rPr>
        <w:t xml:space="preserve"> For this case, the transmission curves have a strong variation. While the polarizer with </w:t>
      </w:r>
      <w:r w:rsidR="003D2E7C" w:rsidRPr="001E3CF9">
        <w:rPr>
          <w:rFonts w:cs="Times"/>
          <w:i/>
        </w:rPr>
        <w:t>m</w:t>
      </w:r>
      <w:r w:rsidR="003D2E7C">
        <w:rPr>
          <w:rFonts w:cs="Times"/>
        </w:rPr>
        <w:t xml:space="preserve"> = 3 has a high transmission for the whole operating wavelength range, in the case of </w:t>
      </w:r>
      <w:r w:rsidR="003D2E7C" w:rsidRPr="001E3CF9">
        <w:rPr>
          <w:rFonts w:cs="Times"/>
          <w:i/>
        </w:rPr>
        <w:t>m</w:t>
      </w:r>
      <w:r w:rsidR="003D2E7C">
        <w:rPr>
          <w:rFonts w:cs="Times"/>
        </w:rPr>
        <w:t xml:space="preserve"> = 2.4, it decreases continuously. The angular variation in transmission also changes as a function of </w:t>
      </w:r>
      <w:r w:rsidR="003D2E7C" w:rsidRPr="001E3CF9">
        <w:rPr>
          <w:rFonts w:cs="Times"/>
          <w:i/>
        </w:rPr>
        <w:t>m</w:t>
      </w:r>
      <w:r w:rsidR="003D2E7C">
        <w:rPr>
          <w:rFonts w:cs="Times"/>
        </w:rPr>
        <w:t xml:space="preserve">. </w:t>
      </w:r>
      <w:r w:rsidR="003D2E7C" w:rsidRPr="002F647C">
        <w:rPr>
          <w:rFonts w:cs="Times"/>
        </w:rPr>
        <w:t>The</w:t>
      </w:r>
      <w:r w:rsidR="003D2E7C">
        <w:rPr>
          <w:rFonts w:cs="Times"/>
        </w:rPr>
        <w:t xml:space="preserve"> polarizer with </w:t>
      </w:r>
      <w:r w:rsidR="003D2E7C" w:rsidRPr="001E3CF9">
        <w:rPr>
          <w:rFonts w:cs="Times"/>
          <w:i/>
        </w:rPr>
        <w:t>m</w:t>
      </w:r>
      <w:r w:rsidR="003D2E7C">
        <w:rPr>
          <w:rFonts w:cs="Times"/>
        </w:rPr>
        <w:t xml:space="preserve"> = 2.4 has a strong variation with </w:t>
      </w:r>
      <w:proofErr w:type="spellStart"/>
      <w:r w:rsidR="003D2E7C" w:rsidRPr="00A35899">
        <w:rPr>
          <w:rFonts w:cs="Times"/>
          <w:i/>
        </w:rPr>
        <w:t>θ</w:t>
      </w:r>
      <w:r w:rsidR="003D2E7C" w:rsidRPr="00A35899">
        <w:rPr>
          <w:i/>
          <w:vertAlign w:val="subscript"/>
        </w:rPr>
        <w:t>blade</w:t>
      </w:r>
      <w:proofErr w:type="spellEnd"/>
      <w:r w:rsidR="003D2E7C">
        <w:t xml:space="preserve">, but that is not the case with the polarizer with </w:t>
      </w:r>
      <w:r w:rsidR="003D2E7C" w:rsidRPr="001E3CF9">
        <w:rPr>
          <w:i/>
        </w:rPr>
        <w:t>m</w:t>
      </w:r>
      <w:r w:rsidR="003D2E7C">
        <w:t xml:space="preserve"> = 3.</w:t>
      </w:r>
    </w:p>
    <w:p w14:paraId="65B20CD7" w14:textId="7910B650" w:rsidR="00CE302E" w:rsidRPr="002F647C" w:rsidRDefault="00CE302E" w:rsidP="00D444EE">
      <w:pPr>
        <w:pStyle w:val="Paragraph"/>
        <w:rPr>
          <w:lang w:val="en-US"/>
        </w:rPr>
      </w:pPr>
      <w:r>
        <w:t xml:space="preserve">The results in MIRACLES show that in all cases, a high degree of polarization is achieved. However, the main driving difference in the performances of the polarizers is in its transmission. In order to achieve a competitive performance </w:t>
      </w:r>
      <w:r w:rsidR="002F647C">
        <w:t xml:space="preserve">for the instrument the polarizer with </w:t>
      </w:r>
      <w:r w:rsidR="002F647C">
        <w:rPr>
          <w:i/>
        </w:rPr>
        <w:t>m</w:t>
      </w:r>
      <w:r w:rsidR="002F647C">
        <w:t xml:space="preserve"> =3 would be the best option among the ones </w:t>
      </w:r>
      <w:proofErr w:type="spellStart"/>
      <w:r w:rsidR="002F647C">
        <w:t>analyzed</w:t>
      </w:r>
      <w:proofErr w:type="spellEnd"/>
      <w:r w:rsidR="002F647C">
        <w:t xml:space="preserve"> as it would also have a competitive transmission beyond the operating wavelength range (between 5 – 7 Å</w:t>
      </w:r>
      <w:r w:rsidR="002F647C">
        <w:rPr>
          <w:lang w:val="en-US"/>
        </w:rPr>
        <w:t xml:space="preserve">) in order to analyze the tail of the </w:t>
      </w:r>
      <w:proofErr w:type="spellStart"/>
      <w:r w:rsidR="002F647C">
        <w:rPr>
          <w:lang w:val="en-US"/>
        </w:rPr>
        <w:t>quasielastic</w:t>
      </w:r>
      <w:proofErr w:type="spellEnd"/>
      <w:r w:rsidR="002F647C">
        <w:rPr>
          <w:lang w:val="en-US"/>
        </w:rPr>
        <w:t xml:space="preserve"> peak</w:t>
      </w:r>
      <w:r w:rsidR="00165871">
        <w:rPr>
          <w:lang w:val="en-US"/>
        </w:rPr>
        <w:t xml:space="preserve"> (from 7-8 Å)</w:t>
      </w:r>
      <w:r w:rsidR="002F647C">
        <w:rPr>
          <w:lang w:val="en-US"/>
        </w:rPr>
        <w:t xml:space="preserve">. </w:t>
      </w:r>
      <w:r w:rsidR="00924DF1">
        <w:rPr>
          <w:lang w:val="en-US"/>
        </w:rPr>
        <w:t>In addition to that, t</w:t>
      </w:r>
      <w:r w:rsidR="00924DF1">
        <w:t xml:space="preserve">he variation with angle is the lowest, as it has a negligible shade (see fig. 7), making it also more robust against the effects of surface waviness of the blades. </w:t>
      </w:r>
      <w:r w:rsidR="002F647C">
        <w:rPr>
          <w:lang w:val="en-US"/>
        </w:rPr>
        <w:t xml:space="preserve">A higher </w:t>
      </w:r>
      <w:r w:rsidR="002F647C">
        <w:rPr>
          <w:i/>
          <w:lang w:val="en-US"/>
        </w:rPr>
        <w:t>m</w:t>
      </w:r>
      <w:r w:rsidR="002F647C">
        <w:rPr>
          <w:lang w:val="en-US"/>
        </w:rPr>
        <w:t xml:space="preserve"> would extend the range with high transmission, but it would not widen the science case of the instrument.</w:t>
      </w:r>
      <w:r w:rsidR="00924DF1">
        <w:rPr>
          <w:lang w:val="en-US"/>
        </w:rPr>
        <w:t xml:space="preserve"> </w:t>
      </w:r>
    </w:p>
    <w:p w14:paraId="73863908" w14:textId="3AD11E9F" w:rsidR="00EF0576" w:rsidRDefault="00EF0576" w:rsidP="00EF0576">
      <w:pPr>
        <w:pStyle w:val="Subsection"/>
      </w:pPr>
      <w:r>
        <w:t>Polarizer for instrument BIFROST</w:t>
      </w:r>
    </w:p>
    <w:p w14:paraId="1FC7CC6E" w14:textId="7734CAEE" w:rsidR="0043736E" w:rsidRDefault="0043736E" w:rsidP="0043736E">
      <w:pPr>
        <w:pStyle w:val="Paragraphfirst"/>
        <w:jc w:val="center"/>
      </w:pPr>
      <w:r>
        <w:rPr>
          <w:noProof/>
          <w:lang w:val="sv-SE" w:eastAsia="sv-SE"/>
        </w:rPr>
        <w:drawing>
          <wp:inline distT="0" distB="0" distL="0" distR="0" wp14:anchorId="3F59F68F" wp14:editId="49766FBE">
            <wp:extent cx="3068463" cy="1456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BIFROST.png"/>
                    <pic:cNvPicPr/>
                  </pic:nvPicPr>
                  <pic:blipFill rotWithShape="1">
                    <a:blip r:embed="rId16" cstate="print">
                      <a:extLst>
                        <a:ext uri="{28A0092B-C50C-407E-A947-70E740481C1C}">
                          <a14:useLocalDpi xmlns:a14="http://schemas.microsoft.com/office/drawing/2010/main" val="0"/>
                        </a:ext>
                      </a:extLst>
                    </a:blip>
                    <a:srcRect t="11483" r="2620" b="6365"/>
                    <a:stretch/>
                  </pic:blipFill>
                  <pic:spPr bwMode="auto">
                    <a:xfrm>
                      <a:off x="0" y="0"/>
                      <a:ext cx="3099385" cy="1470679"/>
                    </a:xfrm>
                    <a:prstGeom prst="rect">
                      <a:avLst/>
                    </a:prstGeom>
                    <a:ln>
                      <a:noFill/>
                    </a:ln>
                    <a:extLst>
                      <a:ext uri="{53640926-AAD7-44D8-BBD7-CCE9431645EC}">
                        <a14:shadowObscured xmlns:a14="http://schemas.microsoft.com/office/drawing/2010/main"/>
                      </a:ext>
                    </a:extLst>
                  </pic:spPr>
                </pic:pic>
              </a:graphicData>
            </a:graphic>
          </wp:inline>
        </w:drawing>
      </w:r>
    </w:p>
    <w:p w14:paraId="0B219764" w14:textId="564261D4" w:rsidR="0043736E" w:rsidRDefault="0043736E" w:rsidP="00A20191">
      <w:pPr>
        <w:pStyle w:val="Paragraphfirst"/>
      </w:pPr>
      <w:r>
        <w:rPr>
          <w:rFonts w:ascii="Times New Roman" w:hAnsi="Times New Roman"/>
          <w:b/>
          <w:bCs/>
          <w:sz w:val="18"/>
          <w:szCs w:val="18"/>
        </w:rPr>
        <w:t>Fig. 8</w:t>
      </w:r>
      <w:r w:rsidRPr="00E35902">
        <w:rPr>
          <w:rFonts w:ascii="Times New Roman" w:hAnsi="Times New Roman"/>
          <w:b/>
          <w:bCs/>
          <w:sz w:val="18"/>
          <w:szCs w:val="18"/>
        </w:rPr>
        <w:t>.</w:t>
      </w:r>
      <w:r>
        <w:rPr>
          <w:rFonts w:ascii="Times New Roman" w:hAnsi="Times New Roman"/>
          <w:b/>
          <w:bCs/>
          <w:sz w:val="18"/>
          <w:szCs w:val="18"/>
        </w:rPr>
        <w:t xml:space="preserve"> </w:t>
      </w:r>
      <w:r>
        <w:rPr>
          <w:rFonts w:ascii="Times New Roman" w:hAnsi="Times New Roman"/>
          <w:bCs/>
          <w:sz w:val="18"/>
          <w:szCs w:val="18"/>
        </w:rPr>
        <w:t>Sketch of the locat</w:t>
      </w:r>
      <w:r w:rsidR="00BF71CC">
        <w:rPr>
          <w:rFonts w:ascii="Times New Roman" w:hAnsi="Times New Roman"/>
          <w:bCs/>
          <w:sz w:val="18"/>
          <w:szCs w:val="18"/>
        </w:rPr>
        <w:t>ion of the polarizer of BIFROST</w:t>
      </w:r>
      <w:r>
        <w:rPr>
          <w:rFonts w:ascii="Times New Roman" w:hAnsi="Times New Roman"/>
          <w:bCs/>
          <w:sz w:val="18"/>
          <w:szCs w:val="18"/>
        </w:rPr>
        <w:t xml:space="preserve"> instrument</w:t>
      </w:r>
    </w:p>
    <w:p w14:paraId="03908EF6" w14:textId="77490C14" w:rsidR="00A20191" w:rsidRPr="002C49BA" w:rsidRDefault="0043736E" w:rsidP="00A20191">
      <w:pPr>
        <w:pStyle w:val="Paragraphfirst"/>
      </w:pPr>
      <w:r>
        <w:t>As it is shown in fig. 8, t</w:t>
      </w:r>
      <w:r w:rsidR="00811C15">
        <w:t>he case of</w:t>
      </w:r>
      <w:r w:rsidR="00A574DF">
        <w:t xml:space="preserve"> BIFROST </w:t>
      </w:r>
      <w:r w:rsidR="00811C15">
        <w:t xml:space="preserve">is also very similar to MIRACLES, </w:t>
      </w:r>
      <w:r>
        <w:t>where there is a long guide section after the last bandwidth chopper. In this case, the straight guide has a cross section of 6 x 9 cm</w:t>
      </w:r>
      <w:r>
        <w:rPr>
          <w:vertAlign w:val="superscript"/>
        </w:rPr>
        <w:t>2</w:t>
      </w:r>
      <w:r w:rsidR="00A574DF">
        <w:t xml:space="preserve">. </w:t>
      </w:r>
      <w:r>
        <w:t xml:space="preserve">After that, a focusing section follows before the neutron beam reaches the sample position. </w:t>
      </w:r>
      <w:r w:rsidR="002C49BA">
        <w:t>The guide</w:t>
      </w:r>
      <w:r w:rsidR="00262515">
        <w:t xml:space="preserve"> section enclosing</w:t>
      </w:r>
      <w:r w:rsidR="002C49BA">
        <w:t xml:space="preserve"> the polarizer has a coating of </w:t>
      </w:r>
      <w:r w:rsidR="002C49BA">
        <w:rPr>
          <w:i/>
        </w:rPr>
        <w:t>m</w:t>
      </w:r>
      <w:r w:rsidR="002C49BA">
        <w:t xml:space="preserve"> = 2.</w:t>
      </w:r>
    </w:p>
    <w:p w14:paraId="01BA73CE" w14:textId="77777777" w:rsidR="0043736E" w:rsidRPr="0043736E" w:rsidRDefault="0043736E" w:rsidP="0043736E">
      <w:pPr>
        <w:pStyle w:val="Paragraph"/>
      </w:pPr>
    </w:p>
    <w:p w14:paraId="4A852A0B" w14:textId="5C16B22A" w:rsidR="00BA7674" w:rsidRPr="00BB522B" w:rsidRDefault="00CE3CC7" w:rsidP="00CE3CC7">
      <w:pPr>
        <w:pStyle w:val="Paragraph"/>
        <w:ind w:firstLine="0"/>
        <w:jc w:val="center"/>
      </w:pPr>
      <w:r>
        <w:rPr>
          <w:noProof/>
          <w:lang w:val="sv-SE" w:eastAsia="sv-SE"/>
        </w:rPr>
        <w:lastRenderedPageBreak/>
        <w:drawing>
          <wp:inline distT="0" distB="0" distL="0" distR="0" wp14:anchorId="4C623298" wp14:editId="5699B8E4">
            <wp:extent cx="2623625" cy="3878303"/>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6_b_rev2.png"/>
                    <pic:cNvPicPr/>
                  </pic:nvPicPr>
                  <pic:blipFill rotWithShape="1">
                    <a:blip r:embed="rId17" cstate="print">
                      <a:extLst>
                        <a:ext uri="{28A0092B-C50C-407E-A947-70E740481C1C}">
                          <a14:useLocalDpi xmlns:a14="http://schemas.microsoft.com/office/drawing/2010/main" val="0"/>
                        </a:ext>
                      </a:extLst>
                    </a:blip>
                    <a:srcRect l="32046" t="6956" r="7080" b="3058"/>
                    <a:stretch/>
                  </pic:blipFill>
                  <pic:spPr bwMode="auto">
                    <a:xfrm>
                      <a:off x="0" y="0"/>
                      <a:ext cx="2684679" cy="3968555"/>
                    </a:xfrm>
                    <a:prstGeom prst="rect">
                      <a:avLst/>
                    </a:prstGeom>
                    <a:ln>
                      <a:noFill/>
                    </a:ln>
                    <a:extLst>
                      <a:ext uri="{53640926-AAD7-44D8-BBD7-CCE9431645EC}">
                        <a14:shadowObscured xmlns:a14="http://schemas.microsoft.com/office/drawing/2010/main"/>
                      </a:ext>
                    </a:extLst>
                  </pic:spPr>
                </pic:pic>
              </a:graphicData>
            </a:graphic>
          </wp:inline>
        </w:drawing>
      </w:r>
    </w:p>
    <w:p w14:paraId="73C6811A" w14:textId="6CB8D3EF" w:rsidR="00BA7674" w:rsidRPr="00BA7674" w:rsidRDefault="0043736E" w:rsidP="00BA7674">
      <w:pPr>
        <w:pStyle w:val="FigureNumbering"/>
        <w:rPr>
          <w:b w:val="0"/>
        </w:rPr>
      </w:pPr>
      <w:r>
        <w:t>Fig. 9</w:t>
      </w:r>
      <w:r w:rsidR="00BA7674" w:rsidRPr="00F6496A">
        <w:t xml:space="preserve">. </w:t>
      </w:r>
      <w:r w:rsidR="00BA7674">
        <w:rPr>
          <w:b w:val="0"/>
        </w:rPr>
        <w:t>Divergence distribution as a function of wavelength of the neutron beam at BIFROST before the polarizer.</w:t>
      </w:r>
    </w:p>
    <w:p w14:paraId="6877EDBA" w14:textId="41A5B72A" w:rsidR="00A574DF" w:rsidRDefault="0043736E" w:rsidP="00A574DF">
      <w:pPr>
        <w:pStyle w:val="Paragraph"/>
      </w:pPr>
      <w:r>
        <w:t>Fig. 9</w:t>
      </w:r>
      <w:r w:rsidR="00A574DF">
        <w:t xml:space="preserve"> shows the divergence distribution as a function of wavelength in both horizontal and vertical directio</w:t>
      </w:r>
      <w:r w:rsidR="000F0BFA">
        <w:t>n before the polarizer</w:t>
      </w:r>
      <w:r w:rsidR="00A574DF">
        <w:t xml:space="preserve">.  </w:t>
      </w:r>
      <w:r w:rsidR="009D1727">
        <w:t>It can be argued in the same way as in MIRACLES that it is more convenient to have</w:t>
      </w:r>
      <w:r w:rsidR="00A574DF">
        <w:t xml:space="preserve"> the mirrors of the cavity vertically arranged and therefore</w:t>
      </w:r>
      <w:r w:rsidR="00A574DF" w:rsidRPr="00003AD7">
        <w:rPr>
          <w:i/>
        </w:rPr>
        <w:t xml:space="preserve"> </w:t>
      </w:r>
      <w:proofErr w:type="spellStart"/>
      <w:r w:rsidR="00A574DF" w:rsidRPr="00003AD7">
        <w:rPr>
          <w:rFonts w:cs="Times"/>
          <w:i/>
        </w:rPr>
        <w:t>θ</w:t>
      </w:r>
      <w:r w:rsidR="00A574DF" w:rsidRPr="00003AD7">
        <w:rPr>
          <w:i/>
          <w:vertAlign w:val="subscript"/>
        </w:rPr>
        <w:t>div,max</w:t>
      </w:r>
      <w:proofErr w:type="spellEnd"/>
      <w:r w:rsidR="00A574DF">
        <w:t xml:space="preserve"> = 0.2</w:t>
      </w:r>
      <w:r w:rsidR="00A574DF">
        <w:rPr>
          <w:rFonts w:cs="Times"/>
        </w:rPr>
        <w:t xml:space="preserve">° . In addition to that, we will use </w:t>
      </w:r>
      <w:proofErr w:type="spellStart"/>
      <w:r w:rsidR="00A574DF" w:rsidRPr="0052028D">
        <w:rPr>
          <w:rFonts w:cs="Times"/>
          <w:i/>
        </w:rPr>
        <w:t>λ</w:t>
      </w:r>
      <w:r w:rsidR="00A574DF" w:rsidRPr="0052028D">
        <w:rPr>
          <w:i/>
          <w:vertAlign w:val="subscript"/>
        </w:rPr>
        <w:t>c</w:t>
      </w:r>
      <w:proofErr w:type="spellEnd"/>
      <w:r w:rsidR="00A574DF">
        <w:t xml:space="preserve"> = 2.0 </w:t>
      </w:r>
      <w:r w:rsidR="00A574DF">
        <w:rPr>
          <w:rFonts w:cs="Times"/>
        </w:rPr>
        <w:t>Å, in order to obtain the required polarization at the operating wavelength range.</w:t>
      </w:r>
      <w:r w:rsidR="00A574DF">
        <w:t xml:space="preserve"> </w:t>
      </w:r>
    </w:p>
    <w:p w14:paraId="3D6FC26B" w14:textId="77777777" w:rsidR="00187A9F" w:rsidRPr="002579A2" w:rsidRDefault="00187A9F" w:rsidP="00187A9F">
      <w:pPr>
        <w:pStyle w:val="TableCaption"/>
      </w:pPr>
      <w:r>
        <w:rPr>
          <w:b/>
          <w:bCs/>
        </w:rPr>
        <w:t>Table 3</w:t>
      </w:r>
      <w:r w:rsidRPr="00036AC2">
        <w:rPr>
          <w:b/>
          <w:bCs/>
        </w:rPr>
        <w:t>.</w:t>
      </w:r>
      <w:r w:rsidRPr="00036AC2">
        <w:t xml:space="preserve"> </w:t>
      </w:r>
      <w:r>
        <w:t>Parameters of the simulated polarizers for BIFROST</w:t>
      </w:r>
    </w:p>
    <w:tbl>
      <w:tblPr>
        <w:tblW w:w="1413" w:type="dxa"/>
        <w:jc w:val="center"/>
        <w:tblLayout w:type="fixed"/>
        <w:tblLook w:val="0000" w:firstRow="0" w:lastRow="0" w:firstColumn="0" w:lastColumn="0" w:noHBand="0" w:noVBand="0"/>
      </w:tblPr>
      <w:tblGrid>
        <w:gridCol w:w="562"/>
        <w:gridCol w:w="851"/>
      </w:tblGrid>
      <w:tr w:rsidR="00187A9F" w:rsidRPr="00036AC2" w14:paraId="5632F11A" w14:textId="77777777" w:rsidTr="00E07952">
        <w:trPr>
          <w:trHeight w:val="434"/>
          <w:jc w:val="center"/>
        </w:trPr>
        <w:tc>
          <w:tcPr>
            <w:tcW w:w="562" w:type="dxa"/>
            <w:tcBorders>
              <w:top w:val="single" w:sz="4" w:space="0" w:color="000000"/>
              <w:left w:val="single" w:sz="4" w:space="0" w:color="000000"/>
              <w:bottom w:val="single" w:sz="4" w:space="0" w:color="000000"/>
            </w:tcBorders>
            <w:vAlign w:val="center"/>
          </w:tcPr>
          <w:p w14:paraId="03826149" w14:textId="77777777" w:rsidR="00187A9F" w:rsidRPr="009E32CC" w:rsidRDefault="00187A9F" w:rsidP="00E07952">
            <w:pPr>
              <w:pStyle w:val="TableHeadBold"/>
              <w:rPr>
                <w:i/>
              </w:rPr>
            </w:pPr>
            <w:r w:rsidRPr="009E32CC">
              <w:rPr>
                <w:i/>
              </w:rPr>
              <w:t>m</w:t>
            </w:r>
          </w:p>
        </w:tc>
        <w:tc>
          <w:tcPr>
            <w:tcW w:w="851" w:type="dxa"/>
            <w:tcBorders>
              <w:top w:val="single" w:sz="4" w:space="0" w:color="000000"/>
              <w:left w:val="single" w:sz="4" w:space="0" w:color="000000"/>
              <w:bottom w:val="single" w:sz="4" w:space="0" w:color="000000"/>
              <w:right w:val="single" w:sz="4" w:space="0" w:color="000000"/>
            </w:tcBorders>
            <w:vAlign w:val="center"/>
          </w:tcPr>
          <w:p w14:paraId="3BDADBE7" w14:textId="77777777" w:rsidR="00187A9F" w:rsidRPr="00AB1014" w:rsidRDefault="00187A9F" w:rsidP="00E07952">
            <w:pPr>
              <w:pStyle w:val="TableHeadBold"/>
              <w:rPr>
                <w:lang w:val="en-GB"/>
              </w:rPr>
            </w:pPr>
            <w:proofErr w:type="spellStart"/>
            <w:r w:rsidRPr="009E32CC">
              <w:rPr>
                <w:rFonts w:cs="Times"/>
                <w:i/>
              </w:rPr>
              <w:t>θ</w:t>
            </w:r>
            <w:r w:rsidRPr="009E32CC">
              <w:rPr>
                <w:i/>
                <w:vertAlign w:val="subscript"/>
              </w:rPr>
              <w:t>blade</w:t>
            </w:r>
            <w:proofErr w:type="spellEnd"/>
            <w:r>
              <w:t>(</w:t>
            </w:r>
            <w:r>
              <w:rPr>
                <w:rFonts w:cs="Times"/>
              </w:rPr>
              <w:t>°</w:t>
            </w:r>
            <w:r>
              <w:t>)</w:t>
            </w:r>
          </w:p>
        </w:tc>
      </w:tr>
      <w:tr w:rsidR="00187A9F" w:rsidRPr="00036AC2" w14:paraId="533362CA" w14:textId="77777777" w:rsidTr="00E07952">
        <w:trPr>
          <w:trHeight w:val="434"/>
          <w:jc w:val="center"/>
        </w:trPr>
        <w:tc>
          <w:tcPr>
            <w:tcW w:w="562" w:type="dxa"/>
            <w:tcBorders>
              <w:top w:val="single" w:sz="4" w:space="0" w:color="000000"/>
              <w:left w:val="single" w:sz="4" w:space="0" w:color="000000"/>
              <w:bottom w:val="single" w:sz="4" w:space="0" w:color="000000"/>
            </w:tcBorders>
            <w:vAlign w:val="center"/>
          </w:tcPr>
          <w:p w14:paraId="7B585785" w14:textId="77777777" w:rsidR="00187A9F" w:rsidRPr="00036AC2" w:rsidRDefault="00187A9F" w:rsidP="00E07952">
            <w:pPr>
              <w:pStyle w:val="Tablecontent"/>
            </w:pPr>
            <w:r>
              <w:t>3.5</w:t>
            </w:r>
          </w:p>
        </w:tc>
        <w:tc>
          <w:tcPr>
            <w:tcW w:w="851" w:type="dxa"/>
            <w:tcBorders>
              <w:top w:val="single" w:sz="4" w:space="0" w:color="000000"/>
              <w:left w:val="single" w:sz="4" w:space="0" w:color="000000"/>
              <w:bottom w:val="single" w:sz="4" w:space="0" w:color="000000"/>
              <w:right w:val="single" w:sz="4" w:space="0" w:color="000000"/>
            </w:tcBorders>
            <w:vAlign w:val="center"/>
          </w:tcPr>
          <w:p w14:paraId="07228ACC" w14:textId="38D1C7F1" w:rsidR="00187A9F" w:rsidRPr="00036AC2" w:rsidRDefault="00187A9F" w:rsidP="00E07952">
            <w:pPr>
              <w:pStyle w:val="Tablecontent"/>
            </w:pPr>
            <w:r>
              <w:t>0.50</w:t>
            </w:r>
          </w:p>
        </w:tc>
      </w:tr>
      <w:tr w:rsidR="00187A9F" w:rsidRPr="00036AC2" w14:paraId="34A964A1" w14:textId="77777777" w:rsidTr="00E07952">
        <w:trPr>
          <w:trHeight w:val="434"/>
          <w:jc w:val="center"/>
        </w:trPr>
        <w:tc>
          <w:tcPr>
            <w:tcW w:w="562" w:type="dxa"/>
            <w:tcBorders>
              <w:top w:val="single" w:sz="4" w:space="0" w:color="000000"/>
              <w:left w:val="single" w:sz="4" w:space="0" w:color="000000"/>
              <w:bottom w:val="single" w:sz="4" w:space="0" w:color="000000"/>
            </w:tcBorders>
            <w:vAlign w:val="center"/>
          </w:tcPr>
          <w:p w14:paraId="7561BF70" w14:textId="77777777" w:rsidR="00187A9F" w:rsidRPr="00036AC2" w:rsidRDefault="00187A9F" w:rsidP="00E07952">
            <w:pPr>
              <w:pStyle w:val="Tablecontent"/>
            </w:pPr>
            <w:r>
              <w:t>3.8</w:t>
            </w:r>
          </w:p>
        </w:tc>
        <w:tc>
          <w:tcPr>
            <w:tcW w:w="851" w:type="dxa"/>
            <w:tcBorders>
              <w:top w:val="single" w:sz="4" w:space="0" w:color="000000"/>
              <w:left w:val="single" w:sz="4" w:space="0" w:color="000000"/>
              <w:bottom w:val="single" w:sz="4" w:space="0" w:color="000000"/>
              <w:right w:val="single" w:sz="4" w:space="0" w:color="000000"/>
            </w:tcBorders>
            <w:vAlign w:val="center"/>
          </w:tcPr>
          <w:p w14:paraId="41FA26A5" w14:textId="447186E3" w:rsidR="00187A9F" w:rsidRPr="00036AC2" w:rsidRDefault="00187A9F" w:rsidP="00E07952">
            <w:pPr>
              <w:pStyle w:val="Tablecontent"/>
            </w:pPr>
            <w:r>
              <w:t>0.55</w:t>
            </w:r>
          </w:p>
        </w:tc>
      </w:tr>
      <w:tr w:rsidR="00187A9F" w:rsidRPr="00036AC2" w14:paraId="270C4C37" w14:textId="77777777" w:rsidTr="00E07952">
        <w:trPr>
          <w:trHeight w:val="434"/>
          <w:jc w:val="center"/>
        </w:trPr>
        <w:tc>
          <w:tcPr>
            <w:tcW w:w="562" w:type="dxa"/>
            <w:tcBorders>
              <w:top w:val="single" w:sz="4" w:space="0" w:color="000000"/>
              <w:left w:val="single" w:sz="4" w:space="0" w:color="000000"/>
              <w:bottom w:val="single" w:sz="4" w:space="0" w:color="000000"/>
            </w:tcBorders>
            <w:vAlign w:val="center"/>
          </w:tcPr>
          <w:p w14:paraId="61864269" w14:textId="77777777" w:rsidR="00187A9F" w:rsidRPr="00036AC2" w:rsidRDefault="00187A9F" w:rsidP="00E07952">
            <w:pPr>
              <w:pStyle w:val="Tablecontent"/>
            </w:pPr>
            <w:r>
              <w:t>4.0</w:t>
            </w:r>
          </w:p>
        </w:tc>
        <w:tc>
          <w:tcPr>
            <w:tcW w:w="851" w:type="dxa"/>
            <w:tcBorders>
              <w:top w:val="single" w:sz="4" w:space="0" w:color="000000"/>
              <w:left w:val="single" w:sz="4" w:space="0" w:color="000000"/>
              <w:bottom w:val="single" w:sz="4" w:space="0" w:color="000000"/>
              <w:right w:val="single" w:sz="4" w:space="0" w:color="000000"/>
            </w:tcBorders>
            <w:vAlign w:val="center"/>
          </w:tcPr>
          <w:p w14:paraId="76AEB2BF" w14:textId="76B66C54" w:rsidR="00187A9F" w:rsidRPr="00036AC2" w:rsidRDefault="00187A9F" w:rsidP="00E07952">
            <w:pPr>
              <w:pStyle w:val="Tablecontent"/>
            </w:pPr>
            <w:r>
              <w:t>0.61</w:t>
            </w:r>
          </w:p>
        </w:tc>
      </w:tr>
      <w:tr w:rsidR="00187A9F" w:rsidRPr="00036AC2" w14:paraId="3E596E6E" w14:textId="77777777" w:rsidTr="00E07952">
        <w:trPr>
          <w:trHeight w:val="434"/>
          <w:jc w:val="center"/>
        </w:trPr>
        <w:tc>
          <w:tcPr>
            <w:tcW w:w="562" w:type="dxa"/>
            <w:tcBorders>
              <w:top w:val="single" w:sz="4" w:space="0" w:color="000000"/>
              <w:left w:val="single" w:sz="4" w:space="0" w:color="000000"/>
              <w:bottom w:val="single" w:sz="4" w:space="0" w:color="000000"/>
            </w:tcBorders>
            <w:vAlign w:val="center"/>
          </w:tcPr>
          <w:p w14:paraId="1DD49327" w14:textId="77777777" w:rsidR="00187A9F" w:rsidRDefault="00187A9F" w:rsidP="00E07952">
            <w:pPr>
              <w:pStyle w:val="Tablecontent"/>
            </w:pPr>
            <w:r>
              <w:t>4.2</w:t>
            </w:r>
          </w:p>
        </w:tc>
        <w:tc>
          <w:tcPr>
            <w:tcW w:w="851" w:type="dxa"/>
            <w:tcBorders>
              <w:top w:val="single" w:sz="4" w:space="0" w:color="000000"/>
              <w:left w:val="single" w:sz="4" w:space="0" w:color="000000"/>
              <w:bottom w:val="single" w:sz="4" w:space="0" w:color="000000"/>
              <w:right w:val="single" w:sz="4" w:space="0" w:color="000000"/>
            </w:tcBorders>
            <w:vAlign w:val="center"/>
          </w:tcPr>
          <w:p w14:paraId="7F1E0958" w14:textId="5E53341F" w:rsidR="00187A9F" w:rsidRDefault="00187A9F" w:rsidP="00E07952">
            <w:pPr>
              <w:pStyle w:val="Tablecontent"/>
            </w:pPr>
            <w:r>
              <w:t>0.64</w:t>
            </w:r>
          </w:p>
        </w:tc>
      </w:tr>
      <w:tr w:rsidR="00187A9F" w:rsidRPr="00036AC2" w14:paraId="5A2D1D1A" w14:textId="77777777" w:rsidTr="00E07952">
        <w:trPr>
          <w:trHeight w:val="434"/>
          <w:jc w:val="center"/>
        </w:trPr>
        <w:tc>
          <w:tcPr>
            <w:tcW w:w="562" w:type="dxa"/>
            <w:tcBorders>
              <w:top w:val="single" w:sz="4" w:space="0" w:color="000000"/>
              <w:left w:val="single" w:sz="4" w:space="0" w:color="000000"/>
              <w:bottom w:val="single" w:sz="4" w:space="0" w:color="000000"/>
            </w:tcBorders>
            <w:vAlign w:val="center"/>
          </w:tcPr>
          <w:p w14:paraId="07EE3660" w14:textId="77777777" w:rsidR="00187A9F" w:rsidRDefault="00187A9F" w:rsidP="00E07952">
            <w:pPr>
              <w:pStyle w:val="Tablecontent"/>
            </w:pPr>
            <w:r>
              <w:t>4.4</w:t>
            </w:r>
          </w:p>
        </w:tc>
        <w:tc>
          <w:tcPr>
            <w:tcW w:w="851" w:type="dxa"/>
            <w:tcBorders>
              <w:top w:val="single" w:sz="4" w:space="0" w:color="000000"/>
              <w:left w:val="single" w:sz="4" w:space="0" w:color="000000"/>
              <w:bottom w:val="single" w:sz="4" w:space="0" w:color="000000"/>
              <w:right w:val="single" w:sz="4" w:space="0" w:color="000000"/>
            </w:tcBorders>
            <w:vAlign w:val="center"/>
          </w:tcPr>
          <w:p w14:paraId="58A8AE21" w14:textId="6415C193" w:rsidR="00187A9F" w:rsidRDefault="00187A9F" w:rsidP="00E07952">
            <w:pPr>
              <w:pStyle w:val="Tablecontent"/>
            </w:pPr>
            <w:r>
              <w:t>0.67</w:t>
            </w:r>
          </w:p>
        </w:tc>
      </w:tr>
      <w:tr w:rsidR="00187A9F" w:rsidRPr="00036AC2" w14:paraId="69DD7836" w14:textId="77777777" w:rsidTr="00E07952">
        <w:trPr>
          <w:trHeight w:val="434"/>
          <w:jc w:val="center"/>
        </w:trPr>
        <w:tc>
          <w:tcPr>
            <w:tcW w:w="562" w:type="dxa"/>
            <w:tcBorders>
              <w:top w:val="single" w:sz="4" w:space="0" w:color="000000"/>
              <w:left w:val="single" w:sz="4" w:space="0" w:color="000000"/>
              <w:bottom w:val="single" w:sz="4" w:space="0" w:color="000000"/>
            </w:tcBorders>
            <w:vAlign w:val="center"/>
          </w:tcPr>
          <w:p w14:paraId="64B9EE8C" w14:textId="10AE892A" w:rsidR="00187A9F" w:rsidRDefault="00187A9F" w:rsidP="00E07952">
            <w:pPr>
              <w:pStyle w:val="Tablecontent"/>
            </w:pPr>
            <w:r>
              <w:t>4.6</w:t>
            </w:r>
          </w:p>
        </w:tc>
        <w:tc>
          <w:tcPr>
            <w:tcW w:w="851" w:type="dxa"/>
            <w:tcBorders>
              <w:top w:val="single" w:sz="4" w:space="0" w:color="000000"/>
              <w:left w:val="single" w:sz="4" w:space="0" w:color="000000"/>
              <w:bottom w:val="single" w:sz="4" w:space="0" w:color="000000"/>
              <w:right w:val="single" w:sz="4" w:space="0" w:color="000000"/>
            </w:tcBorders>
            <w:vAlign w:val="center"/>
          </w:tcPr>
          <w:p w14:paraId="4C015317" w14:textId="01EB9528" w:rsidR="00187A9F" w:rsidRDefault="00187A9F" w:rsidP="00E07952">
            <w:pPr>
              <w:pStyle w:val="Tablecontent"/>
            </w:pPr>
            <w:r>
              <w:t>0.72</w:t>
            </w:r>
          </w:p>
        </w:tc>
      </w:tr>
    </w:tbl>
    <w:p w14:paraId="0B5E5857" w14:textId="77777777" w:rsidR="00187A9F" w:rsidRDefault="00187A9F" w:rsidP="00A574DF">
      <w:pPr>
        <w:pStyle w:val="Paragraph"/>
      </w:pPr>
    </w:p>
    <w:p w14:paraId="7230FFDA" w14:textId="529F0079" w:rsidR="00F45EE7" w:rsidRDefault="00187A9F" w:rsidP="00A574DF">
      <w:pPr>
        <w:pStyle w:val="Paragraph"/>
      </w:pPr>
      <w:r>
        <w:t>Table 3</w:t>
      </w:r>
      <w:r w:rsidR="00F45EE7">
        <w:t xml:space="preserve"> shows the parameters of the simulated polarizers where the angle of the blades is proportional to the </w:t>
      </w:r>
      <w:r w:rsidR="00F45EE7">
        <w:rPr>
          <w:i/>
        </w:rPr>
        <w:t xml:space="preserve">m </w:t>
      </w:r>
      <w:r w:rsidR="00F45EE7">
        <w:t>of the coating.</w:t>
      </w:r>
      <w:r>
        <w:t xml:space="preserve"> In an analogous way, we will also simulate the systems with </w:t>
      </w:r>
      <w:proofErr w:type="spellStart"/>
      <w:r w:rsidRPr="001E3CF9">
        <w:rPr>
          <w:rFonts w:cs="Times"/>
          <w:i/>
        </w:rPr>
        <w:t>θ</w:t>
      </w:r>
      <w:r w:rsidRPr="001E3CF9">
        <w:rPr>
          <w:i/>
          <w:vertAlign w:val="subscript"/>
        </w:rPr>
        <w:t>blade</w:t>
      </w:r>
      <w:proofErr w:type="spellEnd"/>
      <w:r>
        <w:t xml:space="preserve"> </w:t>
      </w:r>
      <w:r>
        <w:rPr>
          <w:rFonts w:cs="Times"/>
        </w:rPr>
        <w:t>±</w:t>
      </w:r>
      <w:r>
        <w:t xml:space="preserve"> 0.02</w:t>
      </w:r>
      <w:r>
        <w:rPr>
          <w:rFonts w:cs="Times"/>
        </w:rPr>
        <w:t xml:space="preserve">° for a given value of m in order to observe the </w:t>
      </w:r>
      <w:r w:rsidR="0045370C">
        <w:rPr>
          <w:rFonts w:cs="Times"/>
        </w:rPr>
        <w:t>dependence with the angle of the blades.</w:t>
      </w:r>
    </w:p>
    <w:p w14:paraId="4D00AD60" w14:textId="392FE1C0" w:rsidR="00F45EE7" w:rsidRDefault="00E00F4A" w:rsidP="00E00F4A">
      <w:pPr>
        <w:pStyle w:val="Paragraphfirst"/>
        <w:jc w:val="center"/>
      </w:pPr>
      <w:r>
        <w:rPr>
          <w:noProof/>
          <w:lang w:val="sv-SE" w:eastAsia="sv-SE"/>
        </w:rPr>
        <w:drawing>
          <wp:inline distT="0" distB="0" distL="0" distR="0" wp14:anchorId="7CF461C1" wp14:editId="765D4F45">
            <wp:extent cx="3028646" cy="2254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6.png"/>
                    <pic:cNvPicPr/>
                  </pic:nvPicPr>
                  <pic:blipFill rotWithShape="1">
                    <a:blip r:embed="rId18">
                      <a:extLst>
                        <a:ext uri="{28A0092B-C50C-407E-A947-70E740481C1C}">
                          <a14:useLocalDpi xmlns:a14="http://schemas.microsoft.com/office/drawing/2010/main" val="0"/>
                        </a:ext>
                      </a:extLst>
                    </a:blip>
                    <a:srcRect t="8074" r="7378"/>
                    <a:stretch/>
                  </pic:blipFill>
                  <pic:spPr bwMode="auto">
                    <a:xfrm>
                      <a:off x="0" y="0"/>
                      <a:ext cx="3041432" cy="2263767"/>
                    </a:xfrm>
                    <a:prstGeom prst="rect">
                      <a:avLst/>
                    </a:prstGeom>
                    <a:ln>
                      <a:noFill/>
                    </a:ln>
                    <a:extLst>
                      <a:ext uri="{53640926-AAD7-44D8-BBD7-CCE9431645EC}">
                        <a14:shadowObscured xmlns:a14="http://schemas.microsoft.com/office/drawing/2010/main"/>
                      </a:ext>
                    </a:extLst>
                  </pic:spPr>
                </pic:pic>
              </a:graphicData>
            </a:graphic>
          </wp:inline>
        </w:drawing>
      </w:r>
    </w:p>
    <w:p w14:paraId="7ED720BE" w14:textId="680F0AB2" w:rsidR="00F45EE7" w:rsidRPr="006A58AE" w:rsidRDefault="000F0BFA" w:rsidP="00F45EE7">
      <w:pPr>
        <w:tabs>
          <w:tab w:val="left" w:pos="4536"/>
        </w:tabs>
        <w:spacing w:before="120" w:after="120"/>
        <w:rPr>
          <w:rFonts w:ascii="Times New Roman" w:hAnsi="Times New Roman"/>
          <w:b/>
          <w:bCs/>
          <w:sz w:val="18"/>
          <w:szCs w:val="18"/>
          <w:lang w:val="en-GB"/>
        </w:rPr>
      </w:pPr>
      <w:r>
        <w:rPr>
          <w:rFonts w:ascii="Times New Roman" w:hAnsi="Times New Roman"/>
          <w:b/>
          <w:bCs/>
          <w:sz w:val="18"/>
          <w:szCs w:val="18"/>
          <w:lang w:val="en-GB"/>
        </w:rPr>
        <w:t>Fig. 10</w:t>
      </w:r>
      <w:r w:rsidR="00F45EE7" w:rsidRPr="006A58AE">
        <w:rPr>
          <w:rFonts w:ascii="Times New Roman" w:hAnsi="Times New Roman"/>
          <w:b/>
          <w:bCs/>
          <w:sz w:val="18"/>
          <w:szCs w:val="18"/>
          <w:lang w:val="en-GB"/>
        </w:rPr>
        <w:t xml:space="preserve">. </w:t>
      </w:r>
      <w:r w:rsidR="00F45EE7">
        <w:rPr>
          <w:rFonts w:ascii="Times" w:hAnsi="Times"/>
          <w:sz w:val="18"/>
          <w:szCs w:val="18"/>
          <w:lang w:val="en-GB"/>
        </w:rPr>
        <w:t>Polarization at the sample position as a function of wavelength for the simulated polarizers</w:t>
      </w:r>
      <w:r w:rsidR="00E00F4A">
        <w:rPr>
          <w:rFonts w:ascii="Times" w:hAnsi="Times"/>
          <w:sz w:val="18"/>
          <w:szCs w:val="18"/>
          <w:lang w:val="en-GB"/>
        </w:rPr>
        <w:t xml:space="preserve"> in BIFROST described in table 3</w:t>
      </w:r>
      <w:r w:rsidR="00F45EE7">
        <w:rPr>
          <w:rFonts w:ascii="Times" w:hAnsi="Times"/>
          <w:sz w:val="18"/>
          <w:szCs w:val="18"/>
          <w:lang w:val="en-GB"/>
        </w:rPr>
        <w:t xml:space="preserve">. The shady areas show the variation of the polarization modifying the nominal </w:t>
      </w:r>
      <w:proofErr w:type="spellStart"/>
      <w:r w:rsidR="00F45EE7" w:rsidRPr="00213A0F">
        <w:rPr>
          <w:rFonts w:ascii="Times" w:hAnsi="Times" w:cs="Times"/>
          <w:i/>
          <w:sz w:val="18"/>
          <w:szCs w:val="18"/>
          <w:lang w:val="en-GB"/>
        </w:rPr>
        <w:t>θ</w:t>
      </w:r>
      <w:r w:rsidR="00F45EE7" w:rsidRPr="00213A0F">
        <w:rPr>
          <w:rFonts w:ascii="Times" w:hAnsi="Times"/>
          <w:i/>
          <w:sz w:val="18"/>
          <w:szCs w:val="18"/>
          <w:vertAlign w:val="subscript"/>
          <w:lang w:val="en-GB"/>
        </w:rPr>
        <w:t>blade</w:t>
      </w:r>
      <w:proofErr w:type="spellEnd"/>
      <w:r w:rsidR="00E00F4A">
        <w:rPr>
          <w:rFonts w:ascii="Times" w:hAnsi="Times"/>
          <w:sz w:val="18"/>
          <w:szCs w:val="18"/>
          <w:lang w:val="en-GB"/>
        </w:rPr>
        <w:t xml:space="preserve"> shown in table 3</w:t>
      </w:r>
      <w:r w:rsidR="00F45EE7">
        <w:rPr>
          <w:rFonts w:ascii="Times" w:hAnsi="Times"/>
          <w:sz w:val="18"/>
          <w:szCs w:val="18"/>
          <w:lang w:val="en-GB"/>
        </w:rPr>
        <w:t xml:space="preserve"> in a range of </w:t>
      </w:r>
      <w:r w:rsidR="00F45EE7">
        <w:rPr>
          <w:rFonts w:ascii="Times" w:hAnsi="Times" w:cs="Times"/>
          <w:sz w:val="18"/>
          <w:szCs w:val="18"/>
          <w:lang w:val="en-GB"/>
        </w:rPr>
        <w:t>±</w:t>
      </w:r>
      <w:r w:rsidR="00F45EE7">
        <w:rPr>
          <w:rFonts w:ascii="Times" w:hAnsi="Times"/>
          <w:sz w:val="18"/>
          <w:szCs w:val="18"/>
          <w:lang w:val="en-GB"/>
        </w:rPr>
        <w:t xml:space="preserve"> 0.02</w:t>
      </w:r>
      <w:r w:rsidR="00F45EE7">
        <w:rPr>
          <w:rFonts w:ascii="Times" w:hAnsi="Times" w:cs="Times"/>
          <w:sz w:val="18"/>
          <w:szCs w:val="18"/>
          <w:lang w:val="en-GB"/>
        </w:rPr>
        <w:t>°</w:t>
      </w:r>
      <w:r w:rsidR="00912D0F">
        <w:rPr>
          <w:rFonts w:ascii="Times" w:hAnsi="Times" w:cs="Times"/>
          <w:sz w:val="18"/>
          <w:szCs w:val="18"/>
          <w:lang w:val="en-GB"/>
        </w:rPr>
        <w:t>.</w:t>
      </w:r>
    </w:p>
    <w:p w14:paraId="098324A5" w14:textId="2DEA6261" w:rsidR="00F45EE7" w:rsidRDefault="000F0BFA" w:rsidP="00A574DF">
      <w:pPr>
        <w:pStyle w:val="Paragraph"/>
        <w:rPr>
          <w:rFonts w:cs="Times"/>
        </w:rPr>
      </w:pPr>
      <w:r>
        <w:t>Fig. 10</w:t>
      </w:r>
      <w:r w:rsidR="005045FD">
        <w:t xml:space="preserve"> shows the polarization as a function of the wavelength for the</w:t>
      </w:r>
      <w:r w:rsidR="00E00F4A">
        <w:t xml:space="preserve"> polarizers described in table 3</w:t>
      </w:r>
      <w:r w:rsidR="005045FD">
        <w:t xml:space="preserve">. Polarization is within requirements in all the simulated polarizers. Even varying </w:t>
      </w:r>
      <w:proofErr w:type="spellStart"/>
      <w:r w:rsidR="005045FD" w:rsidRPr="001E3CF9">
        <w:rPr>
          <w:rFonts w:cs="Times"/>
          <w:i/>
        </w:rPr>
        <w:t>θ</w:t>
      </w:r>
      <w:r w:rsidR="005045FD" w:rsidRPr="001E3CF9">
        <w:rPr>
          <w:i/>
          <w:vertAlign w:val="subscript"/>
        </w:rPr>
        <w:t>blade</w:t>
      </w:r>
      <w:proofErr w:type="spellEnd"/>
      <w:r w:rsidR="005045FD">
        <w:t xml:space="preserve"> in the range of </w:t>
      </w:r>
      <w:r w:rsidR="005045FD">
        <w:rPr>
          <w:rFonts w:cs="Times"/>
        </w:rPr>
        <w:t>±</w:t>
      </w:r>
      <w:r w:rsidR="005045FD">
        <w:t xml:space="preserve"> 0.02</w:t>
      </w:r>
      <w:r w:rsidR="005045FD">
        <w:rPr>
          <w:rFonts w:cs="Times"/>
        </w:rPr>
        <w:t xml:space="preserve">° </w:t>
      </w:r>
      <w:r w:rsidR="00E00F4A">
        <w:rPr>
          <w:rFonts w:cs="Times"/>
        </w:rPr>
        <w:t>the polarizers also fulfil the performance requirements.</w:t>
      </w:r>
    </w:p>
    <w:p w14:paraId="0F608E80" w14:textId="422254D9" w:rsidR="00F45EE7" w:rsidRDefault="00D37F6D" w:rsidP="00D37F6D">
      <w:pPr>
        <w:pStyle w:val="Paragraph"/>
        <w:ind w:firstLine="0"/>
        <w:jc w:val="center"/>
      </w:pPr>
      <w:r>
        <w:rPr>
          <w:noProof/>
          <w:lang w:val="sv-SE" w:eastAsia="sv-SE"/>
        </w:rPr>
        <w:drawing>
          <wp:inline distT="0" distB="0" distL="0" distR="0" wp14:anchorId="2CE1C14D" wp14:editId="32B8C01F">
            <wp:extent cx="3067730" cy="224379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7_rev2.png"/>
                    <pic:cNvPicPr/>
                  </pic:nvPicPr>
                  <pic:blipFill rotWithShape="1">
                    <a:blip r:embed="rId19">
                      <a:extLst>
                        <a:ext uri="{28A0092B-C50C-407E-A947-70E740481C1C}">
                          <a14:useLocalDpi xmlns:a14="http://schemas.microsoft.com/office/drawing/2010/main" val="0"/>
                        </a:ext>
                      </a:extLst>
                    </a:blip>
                    <a:srcRect t="9606" r="7316"/>
                    <a:stretch/>
                  </pic:blipFill>
                  <pic:spPr bwMode="auto">
                    <a:xfrm>
                      <a:off x="0" y="0"/>
                      <a:ext cx="3093496" cy="2262643"/>
                    </a:xfrm>
                    <a:prstGeom prst="rect">
                      <a:avLst/>
                    </a:prstGeom>
                    <a:ln>
                      <a:noFill/>
                    </a:ln>
                    <a:extLst>
                      <a:ext uri="{53640926-AAD7-44D8-BBD7-CCE9431645EC}">
                        <a14:shadowObscured xmlns:a14="http://schemas.microsoft.com/office/drawing/2010/main"/>
                      </a:ext>
                    </a:extLst>
                  </pic:spPr>
                </pic:pic>
              </a:graphicData>
            </a:graphic>
          </wp:inline>
        </w:drawing>
      </w:r>
    </w:p>
    <w:p w14:paraId="7820E4FC" w14:textId="745E7E5F" w:rsidR="001026E6" w:rsidRPr="00F6496A" w:rsidRDefault="000F0BFA" w:rsidP="001026E6">
      <w:pPr>
        <w:pStyle w:val="FigureNumbering"/>
      </w:pPr>
      <w:r>
        <w:t>Fig. 11</w:t>
      </w:r>
      <w:r w:rsidR="001026E6" w:rsidRPr="00F6496A">
        <w:t xml:space="preserve">. </w:t>
      </w:r>
      <w:r w:rsidR="004D080F">
        <w:rPr>
          <w:b w:val="0"/>
        </w:rPr>
        <w:t xml:space="preserve">Corrected </w:t>
      </w:r>
      <w:r w:rsidR="004D080F">
        <w:rPr>
          <w:rFonts w:ascii="Times" w:hAnsi="Times"/>
          <w:b w:val="0"/>
        </w:rPr>
        <w:t>t</w:t>
      </w:r>
      <w:r w:rsidR="001B46DB" w:rsidRPr="001B46DB">
        <w:rPr>
          <w:rFonts w:ascii="Times" w:hAnsi="Times"/>
          <w:b w:val="0"/>
        </w:rPr>
        <w:t xml:space="preserve">ransmission at the sample position as a function of wavelength for the simulated polarizers </w:t>
      </w:r>
      <w:r w:rsidR="001E3CF9">
        <w:rPr>
          <w:rFonts w:ascii="Times" w:hAnsi="Times"/>
          <w:b w:val="0"/>
        </w:rPr>
        <w:t>in BIFROST</w:t>
      </w:r>
      <w:r w:rsidR="00E00F4A">
        <w:rPr>
          <w:rFonts w:ascii="Times" w:hAnsi="Times"/>
          <w:b w:val="0"/>
        </w:rPr>
        <w:t xml:space="preserve"> described in table 3</w:t>
      </w:r>
      <w:r w:rsidR="001B46DB" w:rsidRPr="001B46DB">
        <w:rPr>
          <w:rFonts w:ascii="Times" w:hAnsi="Times"/>
          <w:b w:val="0"/>
        </w:rPr>
        <w:t xml:space="preserve">. The shady areas show the variation of the transmission modifying the nominal </w:t>
      </w:r>
      <w:proofErr w:type="spellStart"/>
      <w:r w:rsidR="001B46DB" w:rsidRPr="00213A0F">
        <w:rPr>
          <w:rFonts w:ascii="Times" w:hAnsi="Times" w:cs="Times"/>
          <w:b w:val="0"/>
          <w:i/>
        </w:rPr>
        <w:t>θ</w:t>
      </w:r>
      <w:r w:rsidR="001B46DB" w:rsidRPr="00213A0F">
        <w:rPr>
          <w:rFonts w:ascii="Times" w:hAnsi="Times"/>
          <w:b w:val="0"/>
          <w:i/>
          <w:vertAlign w:val="subscript"/>
        </w:rPr>
        <w:t>blade</w:t>
      </w:r>
      <w:proofErr w:type="spellEnd"/>
      <w:r w:rsidR="001B46DB" w:rsidRPr="001B46DB">
        <w:rPr>
          <w:rFonts w:ascii="Times" w:hAnsi="Times"/>
          <w:b w:val="0"/>
        </w:rPr>
        <w:t xml:space="preserve"> shown i</w:t>
      </w:r>
      <w:r w:rsidR="00E00F4A">
        <w:rPr>
          <w:rFonts w:ascii="Times" w:hAnsi="Times"/>
          <w:b w:val="0"/>
        </w:rPr>
        <w:t>n table 3</w:t>
      </w:r>
      <w:r w:rsidR="001B46DB" w:rsidRPr="001B46DB">
        <w:rPr>
          <w:rFonts w:ascii="Times" w:hAnsi="Times"/>
          <w:b w:val="0"/>
        </w:rPr>
        <w:t xml:space="preserve"> in a range of </w:t>
      </w:r>
      <w:r w:rsidR="001B46DB" w:rsidRPr="001B46DB">
        <w:rPr>
          <w:rFonts w:ascii="Times" w:hAnsi="Times" w:cs="Times"/>
          <w:b w:val="0"/>
        </w:rPr>
        <w:t>±</w:t>
      </w:r>
      <w:r w:rsidR="001B46DB" w:rsidRPr="001B46DB">
        <w:rPr>
          <w:rFonts w:ascii="Times" w:hAnsi="Times"/>
          <w:b w:val="0"/>
        </w:rPr>
        <w:t xml:space="preserve"> 0.02</w:t>
      </w:r>
      <w:r w:rsidR="00912D0F">
        <w:rPr>
          <w:rFonts w:ascii="Times" w:hAnsi="Times" w:cs="Times"/>
          <w:b w:val="0"/>
        </w:rPr>
        <w:t>°</w:t>
      </w:r>
      <w:r w:rsidR="00912D0F">
        <w:rPr>
          <w:rFonts w:ascii="Times" w:hAnsi="Times"/>
          <w:b w:val="0"/>
        </w:rPr>
        <w:t>.</w:t>
      </w:r>
    </w:p>
    <w:p w14:paraId="27E40EDF" w14:textId="29D46264" w:rsidR="001026E6" w:rsidRDefault="000F0BFA" w:rsidP="00A574DF">
      <w:pPr>
        <w:pStyle w:val="Paragraph"/>
      </w:pPr>
      <w:r>
        <w:t>Fig. 11</w:t>
      </w:r>
      <w:r w:rsidR="001B46DB">
        <w:t xml:space="preserve"> shows the transmission as a function of the wavelength for the studied polarizers for BIFROST. </w:t>
      </w:r>
      <w:r w:rsidR="009D1727">
        <w:t>It fol</w:t>
      </w:r>
      <w:r w:rsidR="00204557">
        <w:t>lows the same trend as</w:t>
      </w:r>
      <w:r>
        <w:t xml:space="preserve"> in fig. 7</w:t>
      </w:r>
      <w:r w:rsidR="002C49BA">
        <w:t xml:space="preserve"> where the polarizers with higher </w:t>
      </w:r>
      <w:r w:rsidR="002C49BA" w:rsidRPr="002C49BA">
        <w:rPr>
          <w:i/>
        </w:rPr>
        <w:t>m</w:t>
      </w:r>
      <w:r w:rsidR="002C49BA">
        <w:t xml:space="preserve"> coating have a high transmission over a longer wavelength range</w:t>
      </w:r>
    </w:p>
    <w:p w14:paraId="719D3B65" w14:textId="56E3BB01" w:rsidR="000F0BFA" w:rsidRPr="000F0BFA" w:rsidRDefault="000F0BFA" w:rsidP="00A574DF">
      <w:pPr>
        <w:pStyle w:val="Paragraph"/>
        <w:rPr>
          <w:lang w:val="en-US"/>
        </w:rPr>
      </w:pPr>
      <w:r>
        <w:t xml:space="preserve">In the case of BIFROST, despite the strong equivalence with MIRACLES, it is also important to take into account other factors like the cost, as the </w:t>
      </w:r>
      <w:r w:rsidRPr="002C49BA">
        <w:rPr>
          <w:i/>
        </w:rPr>
        <w:t>m</w:t>
      </w:r>
      <w:r>
        <w:t xml:space="preserve"> of the coatings is higher than in the former case of MIRACLES. All the studied polarizers obtain the required polarization, but the transmission is different. The polarizer with the highest transmission over the whole operating wavelength range (between 2 – 6 Å</w:t>
      </w:r>
      <w:r>
        <w:rPr>
          <w:lang w:val="en-US"/>
        </w:rPr>
        <w:t xml:space="preserve">) is the one with the highest </w:t>
      </w:r>
      <w:r>
        <w:rPr>
          <w:i/>
          <w:lang w:val="en-US"/>
        </w:rPr>
        <w:t>m</w:t>
      </w:r>
      <w:r>
        <w:rPr>
          <w:lang w:val="en-US"/>
        </w:rPr>
        <w:t xml:space="preserve">, but the ones with </w:t>
      </w:r>
      <w:r w:rsidRPr="000F0BFA">
        <w:rPr>
          <w:i/>
          <w:lang w:val="en-US"/>
        </w:rPr>
        <w:t>m</w:t>
      </w:r>
      <w:r>
        <w:rPr>
          <w:lang w:val="en-US"/>
        </w:rPr>
        <w:t xml:space="preserve"> </w:t>
      </w:r>
      <w:r>
        <w:rPr>
          <w:rFonts w:cs="Times"/>
          <w:lang w:val="en-US"/>
        </w:rPr>
        <w:t>≥</w:t>
      </w:r>
      <w:r>
        <w:rPr>
          <w:lang w:val="en-US"/>
        </w:rPr>
        <w:t xml:space="preserve"> 4.0</w:t>
      </w:r>
      <w:r w:rsidR="00613328">
        <w:rPr>
          <w:lang w:val="en-US"/>
        </w:rPr>
        <w:t xml:space="preserve"> have little differences in transmission of a maximum 4 %, and therefore a good compromise between cost and </w:t>
      </w:r>
      <w:r w:rsidR="00613328">
        <w:rPr>
          <w:lang w:val="en-US"/>
        </w:rPr>
        <w:lastRenderedPageBreak/>
        <w:t>performance</w:t>
      </w:r>
      <w:r w:rsidR="002C49BA">
        <w:rPr>
          <w:lang w:val="en-US"/>
        </w:rPr>
        <w:t xml:space="preserve"> could be the </w:t>
      </w:r>
      <w:r w:rsidR="00613328">
        <w:rPr>
          <w:lang w:val="en-US"/>
        </w:rPr>
        <w:t xml:space="preserve">one with </w:t>
      </w:r>
      <w:r w:rsidR="00613328" w:rsidRPr="002C49BA">
        <w:rPr>
          <w:i/>
          <w:lang w:val="en-US"/>
        </w:rPr>
        <w:t>m</w:t>
      </w:r>
      <w:r w:rsidR="00613328">
        <w:rPr>
          <w:lang w:val="en-US"/>
        </w:rPr>
        <w:t xml:space="preserve"> = 4.2. However, this choice should be reviewed when official quotations with the manufacturers are taken into account</w:t>
      </w:r>
      <w:r w:rsidR="002C49BA">
        <w:rPr>
          <w:lang w:val="en-US"/>
        </w:rPr>
        <w:t>, together with the available budget</w:t>
      </w:r>
      <w:r w:rsidR="00613328">
        <w:rPr>
          <w:lang w:val="en-US"/>
        </w:rPr>
        <w:t>.</w:t>
      </w:r>
    </w:p>
    <w:p w14:paraId="6CDFEB4B" w14:textId="7752628E" w:rsidR="00EF0576" w:rsidRDefault="00EF0576" w:rsidP="00EF0576">
      <w:pPr>
        <w:pStyle w:val="Subsection"/>
      </w:pPr>
      <w:r>
        <w:t>Polarizer for instrument ODIN</w:t>
      </w:r>
    </w:p>
    <w:p w14:paraId="216ED4F4" w14:textId="0BA5AC6B" w:rsidR="00BF71CC" w:rsidRDefault="00BF71CC" w:rsidP="00BF71CC">
      <w:pPr>
        <w:pStyle w:val="Paragraphfirst"/>
        <w:jc w:val="center"/>
      </w:pPr>
      <w:r>
        <w:rPr>
          <w:noProof/>
          <w:lang w:val="sv-SE" w:eastAsia="sv-SE"/>
        </w:rPr>
        <w:drawing>
          <wp:inline distT="0" distB="0" distL="0" distR="0" wp14:anchorId="6DD43426" wp14:editId="64307719">
            <wp:extent cx="3114074" cy="159668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ODIN.png"/>
                    <pic:cNvPicPr/>
                  </pic:nvPicPr>
                  <pic:blipFill rotWithShape="1">
                    <a:blip r:embed="rId20" cstate="print">
                      <a:extLst>
                        <a:ext uri="{28A0092B-C50C-407E-A947-70E740481C1C}">
                          <a14:useLocalDpi xmlns:a14="http://schemas.microsoft.com/office/drawing/2010/main" val="0"/>
                        </a:ext>
                      </a:extLst>
                    </a:blip>
                    <a:srcRect t="6183" r="3063" b="5449"/>
                    <a:stretch/>
                  </pic:blipFill>
                  <pic:spPr bwMode="auto">
                    <a:xfrm>
                      <a:off x="0" y="0"/>
                      <a:ext cx="3129607" cy="1604648"/>
                    </a:xfrm>
                    <a:prstGeom prst="rect">
                      <a:avLst/>
                    </a:prstGeom>
                    <a:ln>
                      <a:noFill/>
                    </a:ln>
                    <a:extLst>
                      <a:ext uri="{53640926-AAD7-44D8-BBD7-CCE9431645EC}">
                        <a14:shadowObscured xmlns:a14="http://schemas.microsoft.com/office/drawing/2010/main"/>
                      </a:ext>
                    </a:extLst>
                  </pic:spPr>
                </pic:pic>
              </a:graphicData>
            </a:graphic>
          </wp:inline>
        </w:drawing>
      </w:r>
    </w:p>
    <w:p w14:paraId="3C2716D7" w14:textId="45A05AD4" w:rsidR="00BF71CC" w:rsidRDefault="006A6079" w:rsidP="00BF71CC">
      <w:pPr>
        <w:pStyle w:val="Paragraphfirst"/>
      </w:pPr>
      <w:r>
        <w:rPr>
          <w:rFonts w:ascii="Times New Roman" w:hAnsi="Times New Roman"/>
          <w:b/>
          <w:bCs/>
          <w:sz w:val="18"/>
          <w:szCs w:val="18"/>
        </w:rPr>
        <w:t>Fig. 12</w:t>
      </w:r>
      <w:r w:rsidR="00BF71CC" w:rsidRPr="00E35902">
        <w:rPr>
          <w:rFonts w:ascii="Times New Roman" w:hAnsi="Times New Roman"/>
          <w:b/>
          <w:bCs/>
          <w:sz w:val="18"/>
          <w:szCs w:val="18"/>
        </w:rPr>
        <w:t>.</w:t>
      </w:r>
      <w:r w:rsidR="00BF71CC">
        <w:rPr>
          <w:rFonts w:ascii="Times New Roman" w:hAnsi="Times New Roman"/>
          <w:b/>
          <w:bCs/>
          <w:sz w:val="18"/>
          <w:szCs w:val="18"/>
        </w:rPr>
        <w:t xml:space="preserve"> </w:t>
      </w:r>
      <w:r w:rsidR="00BF71CC">
        <w:rPr>
          <w:rFonts w:ascii="Times New Roman" w:hAnsi="Times New Roman"/>
          <w:bCs/>
          <w:sz w:val="18"/>
          <w:szCs w:val="18"/>
        </w:rPr>
        <w:t>Sketch of the location of the polarizer of in the ODIN instrument cave.</w:t>
      </w:r>
    </w:p>
    <w:p w14:paraId="2610E3F9" w14:textId="77777777" w:rsidR="00BF71CC" w:rsidRDefault="00BF71CC" w:rsidP="006B71BF">
      <w:pPr>
        <w:pStyle w:val="Paragraphfirst"/>
      </w:pPr>
    </w:p>
    <w:p w14:paraId="4B86343E" w14:textId="60845B8D" w:rsidR="006B71BF" w:rsidRDefault="006B71BF" w:rsidP="006B71BF">
      <w:pPr>
        <w:pStyle w:val="Paragraphfirst"/>
      </w:pPr>
      <w:r>
        <w:t>The case of ODIN is completely different and the polarizer has to be placed in the cave.</w:t>
      </w:r>
      <w:r w:rsidR="006A6079">
        <w:t xml:space="preserve"> Fig. 12</w:t>
      </w:r>
      <w:r w:rsidR="00BF71CC">
        <w:t xml:space="preserve"> shows a sketch of the cave where the polarizer is placed. The cave is divided in two parts. The Optical cave has the end of the guide system and the pinhole </w:t>
      </w:r>
      <w:r w:rsidR="009B0A69">
        <w:t>that adjusts</w:t>
      </w:r>
      <w:r w:rsidR="00BF71CC">
        <w:t xml:space="preserve"> the beam </w:t>
      </w:r>
      <w:r w:rsidR="009B0A69">
        <w:t xml:space="preserve">shape </w:t>
      </w:r>
      <w:r w:rsidR="00BF71CC">
        <w:t>before going to the sample</w:t>
      </w:r>
      <w:r w:rsidR="0083466A">
        <w:t xml:space="preserve"> (in this case the 3 x 3 cm</w:t>
      </w:r>
      <w:r w:rsidR="0083466A">
        <w:rPr>
          <w:vertAlign w:val="superscript"/>
        </w:rPr>
        <w:t>2</w:t>
      </w:r>
      <w:r w:rsidR="00E81DB7">
        <w:t xml:space="preserve"> pinhole has been chosen).</w:t>
      </w:r>
      <w:r w:rsidR="00BF71CC">
        <w:t xml:space="preserve"> The flight tube after the </w:t>
      </w:r>
      <w:r w:rsidR="006A6079">
        <w:t>pinhole creates vacuum to minimize neutron losses This communicates with the Sample cave, where the sample and the detector will be placed</w:t>
      </w:r>
      <w:r w:rsidR="001C2F4C">
        <w:t xml:space="preserve"> at varying distances</w:t>
      </w:r>
      <w:r>
        <w:t>.</w:t>
      </w:r>
      <w:r w:rsidR="001C2F4C">
        <w:t xml:space="preserve"> The most convenient</w:t>
      </w:r>
      <w:r w:rsidR="004F731A">
        <w:t xml:space="preserve"> location</w:t>
      </w:r>
      <w:r w:rsidR="006A6079">
        <w:t xml:space="preserve"> t</w:t>
      </w:r>
      <w:r w:rsidR="0083466A">
        <w:t>o place the polarizer is at the end of the guide</w:t>
      </w:r>
      <w:r w:rsidR="006A6079">
        <w:t xml:space="preserve"> and the length w</w:t>
      </w:r>
      <w:r w:rsidR="00B1754D">
        <w:t xml:space="preserve">ill be limited at 50 cm at most in order to avoid clashes with the pinhole. </w:t>
      </w:r>
      <w:r w:rsidR="00E81DB7">
        <w:t>The enclosing around the polarizer mirrors is absorbing.</w:t>
      </w:r>
    </w:p>
    <w:p w14:paraId="227111C1" w14:textId="1421DBC6" w:rsidR="001852FE" w:rsidRDefault="00D37F6D" w:rsidP="00D37F6D">
      <w:pPr>
        <w:pStyle w:val="Paragraph"/>
        <w:ind w:firstLine="0"/>
        <w:jc w:val="center"/>
      </w:pPr>
      <w:r>
        <w:rPr>
          <w:noProof/>
          <w:lang w:val="sv-SE" w:eastAsia="sv-SE"/>
        </w:rPr>
        <w:drawing>
          <wp:inline distT="0" distB="0" distL="0" distR="0" wp14:anchorId="7348E09F" wp14:editId="28CD2428">
            <wp:extent cx="3084241" cy="298894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9_b_rev2.png"/>
                    <pic:cNvPicPr/>
                  </pic:nvPicPr>
                  <pic:blipFill rotWithShape="1">
                    <a:blip r:embed="rId21" cstate="print">
                      <a:extLst>
                        <a:ext uri="{28A0092B-C50C-407E-A947-70E740481C1C}">
                          <a14:useLocalDpi xmlns:a14="http://schemas.microsoft.com/office/drawing/2010/main" val="0"/>
                        </a:ext>
                      </a:extLst>
                    </a:blip>
                    <a:srcRect l="4722" t="9440" r="7339" b="5337"/>
                    <a:stretch/>
                  </pic:blipFill>
                  <pic:spPr bwMode="auto">
                    <a:xfrm>
                      <a:off x="0" y="0"/>
                      <a:ext cx="3110052" cy="3013959"/>
                    </a:xfrm>
                    <a:prstGeom prst="rect">
                      <a:avLst/>
                    </a:prstGeom>
                    <a:ln>
                      <a:noFill/>
                    </a:ln>
                    <a:extLst>
                      <a:ext uri="{53640926-AAD7-44D8-BBD7-CCE9431645EC}">
                        <a14:shadowObscured xmlns:a14="http://schemas.microsoft.com/office/drawing/2010/main"/>
                      </a:ext>
                    </a:extLst>
                  </pic:spPr>
                </pic:pic>
              </a:graphicData>
            </a:graphic>
          </wp:inline>
        </w:drawing>
      </w:r>
    </w:p>
    <w:p w14:paraId="33DED184" w14:textId="54AE46E9" w:rsidR="00A90573" w:rsidRPr="00A90573" w:rsidRDefault="006A6079" w:rsidP="00A90573">
      <w:pPr>
        <w:pStyle w:val="FigureNumbering"/>
        <w:rPr>
          <w:b w:val="0"/>
        </w:rPr>
      </w:pPr>
      <w:r>
        <w:t>Fig. 13</w:t>
      </w:r>
      <w:r w:rsidR="00A90573" w:rsidRPr="00F6496A">
        <w:t xml:space="preserve">. </w:t>
      </w:r>
      <w:r w:rsidR="00A90573">
        <w:rPr>
          <w:b w:val="0"/>
        </w:rPr>
        <w:t>Divergence distribution as a function of wavelength of the neutron beam at ODIN before the polarizer.</w:t>
      </w:r>
    </w:p>
    <w:p w14:paraId="331D29E1" w14:textId="57FCBA78" w:rsidR="00C3120B" w:rsidRDefault="004D3DF9" w:rsidP="00A90573">
      <w:pPr>
        <w:pStyle w:val="Paragraph"/>
      </w:pPr>
      <w:r>
        <w:t>A</w:t>
      </w:r>
      <w:r w:rsidR="006A6079">
        <w:t>s in the other cases, fig. 13</w:t>
      </w:r>
      <w:r>
        <w:t xml:space="preserve"> shows the divergence distribution as a function of the wavelength. </w:t>
      </w:r>
      <w:r w:rsidR="009B0A69">
        <w:t>As the beam is after a focusing section of the guide, the beam has a larger divergence than in the former cases</w:t>
      </w:r>
      <w:r w:rsidR="00A90573">
        <w:t xml:space="preserve">. </w:t>
      </w:r>
    </w:p>
    <w:p w14:paraId="77CEC6DF" w14:textId="52B0455C" w:rsidR="00FB79C9" w:rsidRDefault="00FB79C9" w:rsidP="00FB79C9">
      <w:pPr>
        <w:pStyle w:val="Paragraph"/>
      </w:pPr>
      <w:r>
        <w:t xml:space="preserve">With the current multichannel v-cavity geometry, observing the trends of fig. 3, there wouldn’t be any value of </w:t>
      </w:r>
      <w:proofErr w:type="spellStart"/>
      <w:r w:rsidRPr="009E32CC">
        <w:rPr>
          <w:rFonts w:cs="Times"/>
          <w:i/>
        </w:rPr>
        <w:t>θ</w:t>
      </w:r>
      <w:r w:rsidRPr="009E32CC">
        <w:rPr>
          <w:i/>
          <w:vertAlign w:val="subscript"/>
        </w:rPr>
        <w:t>blade</w:t>
      </w:r>
      <w:proofErr w:type="spellEnd"/>
      <w:r>
        <w:t xml:space="preserve"> available for such a high divergence and equation (2) would be negative, which makes no physical nor mathematical sense. An alternative solution would be to simply polarize part of the beam, and therefore use different lower values of </w:t>
      </w:r>
      <w:proofErr w:type="spellStart"/>
      <w:r w:rsidRPr="00F9640A">
        <w:rPr>
          <w:rFonts w:cs="Times"/>
          <w:i/>
        </w:rPr>
        <w:t>θ</w:t>
      </w:r>
      <w:r>
        <w:rPr>
          <w:i/>
          <w:vertAlign w:val="subscript"/>
        </w:rPr>
        <w:t>div,</w:t>
      </w:r>
      <w:r w:rsidRPr="00F9640A">
        <w:rPr>
          <w:i/>
          <w:vertAlign w:val="subscript"/>
        </w:rPr>
        <w:t>max</w:t>
      </w:r>
      <w:proofErr w:type="spellEnd"/>
      <w:r>
        <w:t xml:space="preserve"> for the calculation of </w:t>
      </w:r>
      <w:proofErr w:type="spellStart"/>
      <w:r w:rsidRPr="009E32CC">
        <w:rPr>
          <w:rFonts w:cs="Times"/>
          <w:i/>
        </w:rPr>
        <w:t>θ</w:t>
      </w:r>
      <w:r w:rsidRPr="009E32CC">
        <w:rPr>
          <w:i/>
          <w:vertAlign w:val="subscript"/>
        </w:rPr>
        <w:t>blade</w:t>
      </w:r>
      <w:proofErr w:type="spellEnd"/>
      <w:r>
        <w:t xml:space="preserve">. </w:t>
      </w:r>
    </w:p>
    <w:p w14:paraId="72FB2BB5" w14:textId="5615A29B" w:rsidR="00C769B0" w:rsidRPr="00952C7D" w:rsidRDefault="00FB79C9" w:rsidP="00FB79C9">
      <w:pPr>
        <w:pStyle w:val="Paragraph"/>
        <w:ind w:firstLine="0"/>
        <w:jc w:val="center"/>
      </w:pPr>
      <w:r>
        <w:rPr>
          <w:noProof/>
          <w:lang w:val="sv-SE" w:eastAsia="sv-SE"/>
        </w:rPr>
        <w:drawing>
          <wp:inline distT="0" distB="0" distL="0" distR="0" wp14:anchorId="170C0574" wp14:editId="55F951BD">
            <wp:extent cx="2539219" cy="36436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0_d_rev2.png"/>
                    <pic:cNvPicPr/>
                  </pic:nvPicPr>
                  <pic:blipFill rotWithShape="1">
                    <a:blip r:embed="rId22" cstate="print">
                      <a:extLst>
                        <a:ext uri="{28A0092B-C50C-407E-A947-70E740481C1C}">
                          <a14:useLocalDpi xmlns:a14="http://schemas.microsoft.com/office/drawing/2010/main" val="0"/>
                        </a:ext>
                      </a:extLst>
                    </a:blip>
                    <a:srcRect l="30067" t="7452" r="7573" b="3067"/>
                    <a:stretch/>
                  </pic:blipFill>
                  <pic:spPr bwMode="auto">
                    <a:xfrm>
                      <a:off x="0" y="0"/>
                      <a:ext cx="2555983" cy="3667677"/>
                    </a:xfrm>
                    <a:prstGeom prst="rect">
                      <a:avLst/>
                    </a:prstGeom>
                    <a:ln>
                      <a:noFill/>
                    </a:ln>
                    <a:extLst>
                      <a:ext uri="{53640926-AAD7-44D8-BBD7-CCE9431645EC}">
                        <a14:shadowObscured xmlns:a14="http://schemas.microsoft.com/office/drawing/2010/main"/>
                      </a:ext>
                    </a:extLst>
                  </pic:spPr>
                </pic:pic>
              </a:graphicData>
            </a:graphic>
          </wp:inline>
        </w:drawing>
      </w:r>
    </w:p>
    <w:p w14:paraId="0621B3B0" w14:textId="081F82A5" w:rsidR="00EB59B3" w:rsidRPr="00952C7D" w:rsidRDefault="006A6079" w:rsidP="00952C7D">
      <w:pPr>
        <w:pStyle w:val="FigureNumbering"/>
        <w:rPr>
          <w:b w:val="0"/>
        </w:rPr>
      </w:pPr>
      <w:r>
        <w:t>Fig. 14</w:t>
      </w:r>
      <w:r w:rsidR="00EB59B3" w:rsidRPr="00F6496A">
        <w:t xml:space="preserve">. </w:t>
      </w:r>
      <w:r w:rsidR="00EB59B3">
        <w:rPr>
          <w:b w:val="0"/>
        </w:rPr>
        <w:t xml:space="preserve">Acceptance diagrams in both dimensions of the neutron beam at </w:t>
      </w:r>
      <w:r w:rsidR="00FB79C9">
        <w:rPr>
          <w:b w:val="0"/>
        </w:rPr>
        <w:t>the detector position without polarizer</w:t>
      </w:r>
      <w:r w:rsidR="00EB59B3">
        <w:rPr>
          <w:b w:val="0"/>
        </w:rPr>
        <w:t>.</w:t>
      </w:r>
      <w:r w:rsidR="00952C7D">
        <w:rPr>
          <w:b w:val="0"/>
        </w:rPr>
        <w:t xml:space="preserve"> The </w:t>
      </w:r>
      <w:proofErr w:type="spellStart"/>
      <w:r w:rsidR="00FB79C9">
        <w:rPr>
          <w:b w:val="0"/>
        </w:rPr>
        <w:t>grey</w:t>
      </w:r>
      <w:r w:rsidR="00952C7D">
        <w:rPr>
          <w:b w:val="0"/>
        </w:rPr>
        <w:t>dashed</w:t>
      </w:r>
      <w:proofErr w:type="spellEnd"/>
      <w:r w:rsidR="00952C7D">
        <w:rPr>
          <w:b w:val="0"/>
        </w:rPr>
        <w:t xml:space="preserve"> lines denote the different values of </w:t>
      </w:r>
      <w:proofErr w:type="spellStart"/>
      <w:r w:rsidR="00952C7D">
        <w:rPr>
          <w:rFonts w:cs="Times New Roman"/>
          <w:b w:val="0"/>
        </w:rPr>
        <w:t>θ</w:t>
      </w:r>
      <w:r w:rsidR="00952C7D">
        <w:rPr>
          <w:b w:val="0"/>
          <w:vertAlign w:val="subscript"/>
        </w:rPr>
        <w:t>div,max</w:t>
      </w:r>
      <w:proofErr w:type="spellEnd"/>
      <w:r w:rsidR="00952C7D">
        <w:rPr>
          <w:b w:val="0"/>
        </w:rPr>
        <w:t xml:space="preserve"> taken for the design of the simulated polarizers</w:t>
      </w:r>
      <w:r w:rsidR="00B41086">
        <w:rPr>
          <w:b w:val="0"/>
        </w:rPr>
        <w:t xml:space="preserve"> (see table 4)</w:t>
      </w:r>
      <w:r w:rsidR="00FB79C9">
        <w:rPr>
          <w:b w:val="0"/>
        </w:rPr>
        <w:t xml:space="preserve"> and the white dotted lines show the spatial limits of the detector.</w:t>
      </w:r>
    </w:p>
    <w:p w14:paraId="03ECFBBB" w14:textId="48B5F2C2" w:rsidR="00F9640A" w:rsidRDefault="00FB79C9" w:rsidP="006B71BF">
      <w:pPr>
        <w:pStyle w:val="Paragraph"/>
      </w:pPr>
      <w:r>
        <w:t xml:space="preserve">In fig. 14 we can </w:t>
      </w:r>
      <w:proofErr w:type="spellStart"/>
      <w:r>
        <w:t>can</w:t>
      </w:r>
      <w:proofErr w:type="spellEnd"/>
      <w:r>
        <w:t xml:space="preserve"> observe the acceptance </w:t>
      </w:r>
      <w:r w:rsidR="00603C2C">
        <w:t xml:space="preserve">diagrams in both directions of the </w:t>
      </w:r>
      <w:proofErr w:type="spellStart"/>
      <w:r w:rsidR="00603C2C">
        <w:t>unpolarized</w:t>
      </w:r>
      <w:proofErr w:type="spellEnd"/>
      <w:r w:rsidR="00603C2C">
        <w:t xml:space="preserve"> beam (that is, without placing any polarizer) integrated </w:t>
      </w:r>
      <w:r w:rsidR="004F731A">
        <w:t xml:space="preserve">over </w:t>
      </w:r>
      <w:r w:rsidR="00603C2C">
        <w:t xml:space="preserve">the operating wavelength range where the white dotted lines are the spatial limits of the detector and the grey dashed lines are the values of </w:t>
      </w:r>
      <w:proofErr w:type="spellStart"/>
      <w:r w:rsidR="00603C2C" w:rsidRPr="00F9640A">
        <w:rPr>
          <w:rFonts w:cs="Times"/>
          <w:i/>
        </w:rPr>
        <w:t>θ</w:t>
      </w:r>
      <w:r w:rsidR="00603C2C">
        <w:rPr>
          <w:i/>
          <w:vertAlign w:val="subscript"/>
        </w:rPr>
        <w:t>div,</w:t>
      </w:r>
      <w:r w:rsidR="00603C2C" w:rsidRPr="00F9640A">
        <w:rPr>
          <w:i/>
          <w:vertAlign w:val="subscript"/>
        </w:rPr>
        <w:t>max</w:t>
      </w:r>
      <w:proofErr w:type="spellEnd"/>
      <w:r w:rsidR="00603C2C">
        <w:t xml:space="preserve"> chosen for the designs. </w:t>
      </w:r>
    </w:p>
    <w:p w14:paraId="0777316F" w14:textId="64D0F627" w:rsidR="00603C2C" w:rsidRPr="00B57608" w:rsidRDefault="00603C2C" w:rsidP="006B71BF">
      <w:pPr>
        <w:pStyle w:val="Paragraph"/>
        <w:rPr>
          <w:color w:val="FF0000"/>
          <w:lang w:val="en-US"/>
        </w:rPr>
      </w:pPr>
      <w:r>
        <w:t>As can be seen, if only part of the beam is polarized, the higher divergence part of the beam that is not polarized by the polarizer would still degrade the polarization at the sides of the detector. However, taking into account that the critical angle of the coatings is waveleng</w:t>
      </w:r>
      <w:r w:rsidR="004F731A">
        <w:t>th dependent, we can ensure high levels of polarization</w:t>
      </w:r>
      <w:r>
        <w:t xml:space="preserve"> by choosing a value of </w:t>
      </w:r>
      <w:proofErr w:type="spellStart"/>
      <w:r w:rsidRPr="002D42BC">
        <w:rPr>
          <w:rFonts w:cs="Times"/>
          <w:i/>
          <w:lang w:val="en-US"/>
        </w:rPr>
        <w:t>λ</w:t>
      </w:r>
      <w:r w:rsidRPr="002D42BC">
        <w:rPr>
          <w:rFonts w:cs="Times"/>
          <w:i/>
          <w:vertAlign w:val="subscript"/>
          <w:lang w:val="en-US"/>
        </w:rPr>
        <w:t>c</w:t>
      </w:r>
      <w:proofErr w:type="spellEnd"/>
      <w:r>
        <w:rPr>
          <w:rFonts w:cs="Times"/>
          <w:lang w:val="en-US"/>
        </w:rPr>
        <w:t xml:space="preserve"> </w:t>
      </w:r>
      <w:r w:rsidR="00B57608">
        <w:rPr>
          <w:rFonts w:cs="Times"/>
          <w:lang w:val="en-US"/>
        </w:rPr>
        <w:t xml:space="preserve">in eq. (2) </w:t>
      </w:r>
      <w:r>
        <w:rPr>
          <w:rFonts w:cs="Times"/>
          <w:lang w:val="en-US"/>
        </w:rPr>
        <w:t>lower than the lower limit of the operating wavelength range</w:t>
      </w:r>
      <w:r w:rsidR="00B57608">
        <w:rPr>
          <w:rFonts w:cs="Times"/>
          <w:lang w:val="en-US"/>
        </w:rPr>
        <w:t xml:space="preserve"> (2.5 Å)</w:t>
      </w:r>
      <w:r>
        <w:rPr>
          <w:rFonts w:cs="Times"/>
          <w:lang w:val="en-US"/>
        </w:rPr>
        <w:t xml:space="preserve">. </w:t>
      </w:r>
      <w:r w:rsidR="00B57608">
        <w:rPr>
          <w:rFonts w:cs="Times"/>
          <w:lang w:val="en-US"/>
        </w:rPr>
        <w:t xml:space="preserve">This way, we could ensure that the whole phase space within the detector area reaches a high level of polarization. In our case we have chosen </w:t>
      </w:r>
      <w:proofErr w:type="spellStart"/>
      <w:r w:rsidR="00B57608" w:rsidRPr="002D42BC">
        <w:rPr>
          <w:rFonts w:cs="Times"/>
          <w:i/>
          <w:lang w:val="en-US"/>
        </w:rPr>
        <w:t>λ</w:t>
      </w:r>
      <w:r w:rsidR="00B57608" w:rsidRPr="002D42BC">
        <w:rPr>
          <w:rFonts w:cs="Times"/>
          <w:i/>
          <w:vertAlign w:val="subscript"/>
          <w:lang w:val="en-US"/>
        </w:rPr>
        <w:t>c</w:t>
      </w:r>
      <w:proofErr w:type="spellEnd"/>
      <w:r w:rsidR="00B57608">
        <w:rPr>
          <w:rFonts w:cs="Times"/>
          <w:lang w:val="en-US"/>
        </w:rPr>
        <w:t xml:space="preserve"> = 2.0 </w:t>
      </w:r>
      <w:r w:rsidR="00B57608" w:rsidRPr="00B57608">
        <w:rPr>
          <w:rFonts w:cs="Times"/>
          <w:lang w:val="en-US"/>
        </w:rPr>
        <w:t>Å</w:t>
      </w:r>
      <w:r w:rsidR="00B57608">
        <w:rPr>
          <w:rFonts w:cs="Times"/>
          <w:lang w:val="en-US"/>
        </w:rPr>
        <w:t xml:space="preserve">. This strategy works better in the vertical direction, where the phase space has an approximate shape of a rhomboid. In the horizontal direction we can observe some contributions in higher divergence where this strategy would be more difficult to apply and the results would show a higher degree of degradation in the sides. </w:t>
      </w:r>
      <w:r w:rsidR="00B57608">
        <w:rPr>
          <w:rFonts w:cs="Times"/>
          <w:lang w:val="en-US"/>
        </w:rPr>
        <w:lastRenderedPageBreak/>
        <w:t>Therefore, the blades of the polarizer will be arranged vertically.</w:t>
      </w:r>
    </w:p>
    <w:p w14:paraId="4B6FDE6B" w14:textId="59605186" w:rsidR="00952C7D" w:rsidRPr="002579A2" w:rsidRDefault="00B87747" w:rsidP="00952C7D">
      <w:pPr>
        <w:pStyle w:val="TableCaption"/>
      </w:pPr>
      <w:r>
        <w:rPr>
          <w:b/>
          <w:bCs/>
        </w:rPr>
        <w:t>Table 4</w:t>
      </w:r>
      <w:r w:rsidR="00952C7D" w:rsidRPr="00036AC2">
        <w:rPr>
          <w:b/>
          <w:bCs/>
        </w:rPr>
        <w:t>.</w:t>
      </w:r>
      <w:r w:rsidR="00952C7D" w:rsidRPr="00036AC2">
        <w:t xml:space="preserve"> </w:t>
      </w:r>
      <w:r w:rsidR="00952C7D">
        <w:t>Parameters of the simulated polarizers for ODIN</w:t>
      </w:r>
    </w:p>
    <w:tbl>
      <w:tblPr>
        <w:tblW w:w="4106" w:type="dxa"/>
        <w:jc w:val="center"/>
        <w:tblLayout w:type="fixed"/>
        <w:tblLook w:val="0000" w:firstRow="0" w:lastRow="0" w:firstColumn="0" w:lastColumn="0" w:noHBand="0" w:noVBand="0"/>
      </w:tblPr>
      <w:tblGrid>
        <w:gridCol w:w="562"/>
        <w:gridCol w:w="851"/>
        <w:gridCol w:w="851"/>
        <w:gridCol w:w="851"/>
        <w:gridCol w:w="991"/>
      </w:tblGrid>
      <w:tr w:rsidR="00952C7D" w:rsidRPr="00F622DD" w14:paraId="2A3BE124" w14:textId="24C35155" w:rsidTr="00952C7D">
        <w:trPr>
          <w:trHeight w:val="434"/>
          <w:jc w:val="center"/>
        </w:trPr>
        <w:tc>
          <w:tcPr>
            <w:tcW w:w="562" w:type="dxa"/>
            <w:tcBorders>
              <w:top w:val="single" w:sz="4" w:space="0" w:color="000000"/>
              <w:left w:val="single" w:sz="4" w:space="0" w:color="000000"/>
              <w:bottom w:val="single" w:sz="4" w:space="0" w:color="000000"/>
            </w:tcBorders>
            <w:vAlign w:val="center"/>
          </w:tcPr>
          <w:p w14:paraId="1DB49839" w14:textId="77777777" w:rsidR="00952C7D" w:rsidRPr="00F622DD" w:rsidRDefault="00952C7D" w:rsidP="001775A1">
            <w:pPr>
              <w:pStyle w:val="TableHeadBold"/>
              <w:rPr>
                <w:i/>
                <w:lang w:val="en-US"/>
              </w:rPr>
            </w:pPr>
            <w:r w:rsidRPr="00F622DD">
              <w:rPr>
                <w:i/>
                <w:lang w:val="en-US"/>
              </w:rPr>
              <w:t>m</w:t>
            </w:r>
          </w:p>
        </w:tc>
        <w:tc>
          <w:tcPr>
            <w:tcW w:w="851" w:type="dxa"/>
            <w:tcBorders>
              <w:top w:val="single" w:sz="4" w:space="0" w:color="000000"/>
              <w:left w:val="single" w:sz="4" w:space="0" w:color="000000"/>
              <w:bottom w:val="single" w:sz="4" w:space="0" w:color="000000"/>
            </w:tcBorders>
            <w:vAlign w:val="center"/>
          </w:tcPr>
          <w:p w14:paraId="4A93EA7C" w14:textId="5DD5FC8D" w:rsidR="00952C7D" w:rsidRPr="00F622DD" w:rsidRDefault="00952C7D" w:rsidP="00952C7D">
            <w:pPr>
              <w:pStyle w:val="TableHeadBold"/>
              <w:rPr>
                <w:rFonts w:cs="Times"/>
                <w:lang w:val="en-US"/>
              </w:rPr>
            </w:pPr>
            <w:r w:rsidRPr="009E32CC">
              <w:rPr>
                <w:rFonts w:cs="Times"/>
                <w:i/>
              </w:rPr>
              <w:t>θ</w:t>
            </w:r>
            <w:proofErr w:type="spellStart"/>
            <w:r w:rsidRPr="00F622DD">
              <w:rPr>
                <w:rFonts w:cs="Times"/>
                <w:i/>
                <w:vertAlign w:val="subscript"/>
                <w:lang w:val="en-US"/>
              </w:rPr>
              <w:t>div,max</w:t>
            </w:r>
            <w:proofErr w:type="spellEnd"/>
            <w:r w:rsidR="00B41086" w:rsidRPr="00F622DD">
              <w:rPr>
                <w:rFonts w:cs="Times"/>
                <w:vertAlign w:val="subscript"/>
                <w:lang w:val="en-US"/>
              </w:rPr>
              <w:t xml:space="preserve"> </w:t>
            </w:r>
            <w:r w:rsidR="00B41086" w:rsidRPr="00F622DD">
              <w:rPr>
                <w:rFonts w:cs="Times"/>
                <w:lang w:val="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34408505" w14:textId="7546A435" w:rsidR="00952C7D" w:rsidRPr="00AB1014" w:rsidRDefault="00952C7D" w:rsidP="001775A1">
            <w:pPr>
              <w:pStyle w:val="TableHeadBold"/>
              <w:rPr>
                <w:lang w:val="en-GB"/>
              </w:rPr>
            </w:pPr>
            <w:r w:rsidRPr="009E32CC">
              <w:rPr>
                <w:rFonts w:cs="Times"/>
                <w:i/>
              </w:rPr>
              <w:t>θ</w:t>
            </w:r>
            <w:r w:rsidRPr="00F622DD">
              <w:rPr>
                <w:i/>
                <w:vertAlign w:val="subscript"/>
                <w:lang w:val="en-US"/>
              </w:rPr>
              <w:t>blade</w:t>
            </w:r>
            <w:r w:rsidR="00B41086" w:rsidRPr="00F622DD">
              <w:rPr>
                <w:vertAlign w:val="subscript"/>
                <w:lang w:val="en-US"/>
              </w:rPr>
              <w:t xml:space="preserve"> </w:t>
            </w:r>
            <w:r w:rsidRPr="00F622DD">
              <w:rPr>
                <w:lang w:val="en-US"/>
              </w:rPr>
              <w:t>(</w:t>
            </w:r>
            <w:r w:rsidRPr="00F622DD">
              <w:rPr>
                <w:rFonts w:cs="Times"/>
                <w:lang w:val="en-US"/>
              </w:rPr>
              <w:t>°</w:t>
            </w:r>
            <w:r w:rsidRPr="00F622DD">
              <w:rPr>
                <w:lang w:val="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6CD905A7" w14:textId="1BFBD90D" w:rsidR="00952C7D" w:rsidRPr="00F622DD" w:rsidRDefault="00952C7D" w:rsidP="00952C7D">
            <w:pPr>
              <w:pStyle w:val="TableHeadBold"/>
              <w:rPr>
                <w:rFonts w:cs="Times"/>
                <w:lang w:val="en-US"/>
              </w:rPr>
            </w:pPr>
            <w:r w:rsidRPr="00F622DD">
              <w:rPr>
                <w:rFonts w:cs="Times"/>
                <w:lang w:val="en-US"/>
              </w:rPr>
              <w:t>Length (m)</w:t>
            </w:r>
          </w:p>
        </w:tc>
        <w:tc>
          <w:tcPr>
            <w:tcW w:w="991" w:type="dxa"/>
            <w:tcBorders>
              <w:top w:val="single" w:sz="4" w:space="0" w:color="000000"/>
              <w:left w:val="single" w:sz="4" w:space="0" w:color="000000"/>
              <w:bottom w:val="single" w:sz="4" w:space="0" w:color="000000"/>
              <w:right w:val="single" w:sz="4" w:space="0" w:color="000000"/>
            </w:tcBorders>
            <w:vAlign w:val="center"/>
          </w:tcPr>
          <w:p w14:paraId="7413E9CA" w14:textId="43456E8E" w:rsidR="00952C7D" w:rsidRPr="00F622DD" w:rsidRDefault="00952C7D" w:rsidP="00952C7D">
            <w:pPr>
              <w:pStyle w:val="TableHeadBold"/>
              <w:rPr>
                <w:rFonts w:cs="Times"/>
                <w:lang w:val="en-US"/>
              </w:rPr>
            </w:pPr>
            <w:r w:rsidRPr="00F622DD">
              <w:rPr>
                <w:rFonts w:cs="Times"/>
                <w:lang w:val="en-US"/>
              </w:rPr>
              <w:t>channels</w:t>
            </w:r>
          </w:p>
        </w:tc>
      </w:tr>
      <w:tr w:rsidR="00952C7D" w:rsidRPr="00036AC2" w14:paraId="1E484722" w14:textId="3AFCE843" w:rsidTr="00952C7D">
        <w:trPr>
          <w:trHeight w:val="434"/>
          <w:jc w:val="center"/>
        </w:trPr>
        <w:tc>
          <w:tcPr>
            <w:tcW w:w="562" w:type="dxa"/>
            <w:tcBorders>
              <w:top w:val="single" w:sz="4" w:space="0" w:color="000000"/>
              <w:left w:val="single" w:sz="4" w:space="0" w:color="000000"/>
              <w:bottom w:val="single" w:sz="4" w:space="0" w:color="000000"/>
            </w:tcBorders>
            <w:vAlign w:val="center"/>
          </w:tcPr>
          <w:p w14:paraId="5638F120" w14:textId="1F97D63F" w:rsidR="00952C7D" w:rsidRPr="00F622DD" w:rsidRDefault="00952C7D" w:rsidP="001775A1">
            <w:pPr>
              <w:pStyle w:val="Tablecontent"/>
              <w:rPr>
                <w:lang w:val="en-US"/>
              </w:rPr>
            </w:pPr>
            <w:r w:rsidRPr="00F622DD">
              <w:rPr>
                <w:lang w:val="en-US"/>
              </w:rPr>
              <w:t>4.0</w:t>
            </w:r>
          </w:p>
        </w:tc>
        <w:tc>
          <w:tcPr>
            <w:tcW w:w="851" w:type="dxa"/>
            <w:tcBorders>
              <w:top w:val="single" w:sz="4" w:space="0" w:color="000000"/>
              <w:left w:val="single" w:sz="4" w:space="0" w:color="000000"/>
              <w:bottom w:val="single" w:sz="4" w:space="0" w:color="000000"/>
            </w:tcBorders>
            <w:vAlign w:val="center"/>
          </w:tcPr>
          <w:p w14:paraId="75E6FC40" w14:textId="447CE388" w:rsidR="00952C7D" w:rsidRPr="00F622DD" w:rsidRDefault="00952C7D" w:rsidP="00952C7D">
            <w:pPr>
              <w:pStyle w:val="Tablecontent"/>
              <w:rPr>
                <w:lang w:val="en-US"/>
              </w:rPr>
            </w:pPr>
            <w:r w:rsidRPr="00F622DD">
              <w:rPr>
                <w:lang w:val="en-US"/>
              </w:rPr>
              <w:t>0.35</w:t>
            </w:r>
          </w:p>
        </w:tc>
        <w:tc>
          <w:tcPr>
            <w:tcW w:w="851" w:type="dxa"/>
            <w:tcBorders>
              <w:top w:val="single" w:sz="4" w:space="0" w:color="000000"/>
              <w:left w:val="single" w:sz="4" w:space="0" w:color="000000"/>
              <w:bottom w:val="single" w:sz="4" w:space="0" w:color="000000"/>
              <w:right w:val="single" w:sz="4" w:space="0" w:color="000000"/>
            </w:tcBorders>
            <w:vAlign w:val="center"/>
          </w:tcPr>
          <w:p w14:paraId="61874AAA" w14:textId="3EA52D54" w:rsidR="00952C7D" w:rsidRPr="00F622DD" w:rsidRDefault="00952C7D" w:rsidP="00952C7D">
            <w:pPr>
              <w:pStyle w:val="Tablecontent"/>
              <w:rPr>
                <w:lang w:val="en-US"/>
              </w:rPr>
            </w:pPr>
            <w:r w:rsidRPr="00F622DD">
              <w:rPr>
                <w:lang w:val="en-US"/>
              </w:rPr>
              <w:t>0.45</w:t>
            </w:r>
          </w:p>
        </w:tc>
        <w:tc>
          <w:tcPr>
            <w:tcW w:w="851" w:type="dxa"/>
            <w:tcBorders>
              <w:top w:val="single" w:sz="4" w:space="0" w:color="000000"/>
              <w:left w:val="single" w:sz="4" w:space="0" w:color="000000"/>
              <w:bottom w:val="single" w:sz="4" w:space="0" w:color="000000"/>
              <w:right w:val="single" w:sz="4" w:space="0" w:color="000000"/>
            </w:tcBorders>
            <w:vAlign w:val="center"/>
          </w:tcPr>
          <w:p w14:paraId="03E1F254" w14:textId="66E1B94F" w:rsidR="00952C7D" w:rsidRDefault="00952C7D" w:rsidP="00952C7D">
            <w:pPr>
              <w:pStyle w:val="Tablecontent"/>
            </w:pPr>
            <w:r w:rsidRPr="00F622DD">
              <w:rPr>
                <w:lang w:val="en-US"/>
              </w:rPr>
              <w:t>0.4</w:t>
            </w:r>
            <w:r>
              <w:t>7</w:t>
            </w:r>
          </w:p>
        </w:tc>
        <w:tc>
          <w:tcPr>
            <w:tcW w:w="991" w:type="dxa"/>
            <w:tcBorders>
              <w:top w:val="single" w:sz="4" w:space="0" w:color="000000"/>
              <w:left w:val="single" w:sz="4" w:space="0" w:color="000000"/>
              <w:bottom w:val="single" w:sz="4" w:space="0" w:color="000000"/>
              <w:right w:val="single" w:sz="4" w:space="0" w:color="000000"/>
            </w:tcBorders>
            <w:vAlign w:val="center"/>
          </w:tcPr>
          <w:p w14:paraId="1367322D" w14:textId="2556F2B9" w:rsidR="00952C7D" w:rsidRDefault="00952C7D" w:rsidP="00952C7D">
            <w:pPr>
              <w:pStyle w:val="Tablecontent"/>
            </w:pPr>
            <w:r>
              <w:t>4</w:t>
            </w:r>
          </w:p>
        </w:tc>
      </w:tr>
      <w:tr w:rsidR="00952C7D" w:rsidRPr="00036AC2" w14:paraId="34521F09" w14:textId="78FCA809" w:rsidTr="00952C7D">
        <w:trPr>
          <w:trHeight w:val="434"/>
          <w:jc w:val="center"/>
        </w:trPr>
        <w:tc>
          <w:tcPr>
            <w:tcW w:w="562" w:type="dxa"/>
            <w:tcBorders>
              <w:top w:val="single" w:sz="4" w:space="0" w:color="000000"/>
              <w:left w:val="single" w:sz="4" w:space="0" w:color="000000"/>
              <w:bottom w:val="single" w:sz="4" w:space="0" w:color="000000"/>
            </w:tcBorders>
            <w:vAlign w:val="center"/>
          </w:tcPr>
          <w:p w14:paraId="55DDA1FE" w14:textId="2E278217" w:rsidR="00952C7D" w:rsidRPr="00036AC2" w:rsidRDefault="00952C7D" w:rsidP="001775A1">
            <w:pPr>
              <w:pStyle w:val="Tablecontent"/>
            </w:pPr>
            <w:r>
              <w:t>4.0</w:t>
            </w:r>
          </w:p>
        </w:tc>
        <w:tc>
          <w:tcPr>
            <w:tcW w:w="851" w:type="dxa"/>
            <w:tcBorders>
              <w:top w:val="single" w:sz="4" w:space="0" w:color="000000"/>
              <w:left w:val="single" w:sz="4" w:space="0" w:color="000000"/>
              <w:bottom w:val="single" w:sz="4" w:space="0" w:color="000000"/>
            </w:tcBorders>
            <w:vAlign w:val="center"/>
          </w:tcPr>
          <w:p w14:paraId="67733582" w14:textId="49CFF07D" w:rsidR="00952C7D" w:rsidRDefault="00952C7D" w:rsidP="00952C7D">
            <w:pPr>
              <w:pStyle w:val="Tablecontent"/>
            </w:pPr>
            <w:r>
              <w:t>0.50</w:t>
            </w:r>
          </w:p>
        </w:tc>
        <w:tc>
          <w:tcPr>
            <w:tcW w:w="851" w:type="dxa"/>
            <w:tcBorders>
              <w:top w:val="single" w:sz="4" w:space="0" w:color="000000"/>
              <w:left w:val="single" w:sz="4" w:space="0" w:color="000000"/>
              <w:bottom w:val="single" w:sz="4" w:space="0" w:color="000000"/>
              <w:right w:val="single" w:sz="4" w:space="0" w:color="000000"/>
            </w:tcBorders>
            <w:vAlign w:val="center"/>
          </w:tcPr>
          <w:p w14:paraId="329C616B" w14:textId="498C786D" w:rsidR="00952C7D" w:rsidRPr="00036AC2" w:rsidRDefault="00952C7D" w:rsidP="00952C7D">
            <w:pPr>
              <w:pStyle w:val="Tablecontent"/>
            </w:pPr>
            <w:r>
              <w:t>0.30</w:t>
            </w:r>
          </w:p>
        </w:tc>
        <w:tc>
          <w:tcPr>
            <w:tcW w:w="851" w:type="dxa"/>
            <w:tcBorders>
              <w:top w:val="single" w:sz="4" w:space="0" w:color="000000"/>
              <w:left w:val="single" w:sz="4" w:space="0" w:color="000000"/>
              <w:bottom w:val="single" w:sz="4" w:space="0" w:color="000000"/>
              <w:right w:val="single" w:sz="4" w:space="0" w:color="000000"/>
            </w:tcBorders>
            <w:vAlign w:val="center"/>
          </w:tcPr>
          <w:p w14:paraId="2103E985" w14:textId="43798076" w:rsidR="00952C7D" w:rsidRDefault="00952C7D" w:rsidP="00952C7D">
            <w:pPr>
              <w:pStyle w:val="Tablecontent"/>
            </w:pPr>
            <w:r>
              <w:t>0.47</w:t>
            </w:r>
          </w:p>
        </w:tc>
        <w:tc>
          <w:tcPr>
            <w:tcW w:w="991" w:type="dxa"/>
            <w:tcBorders>
              <w:top w:val="single" w:sz="4" w:space="0" w:color="000000"/>
              <w:left w:val="single" w:sz="4" w:space="0" w:color="000000"/>
              <w:bottom w:val="single" w:sz="4" w:space="0" w:color="000000"/>
              <w:right w:val="single" w:sz="4" w:space="0" w:color="000000"/>
            </w:tcBorders>
            <w:vAlign w:val="center"/>
          </w:tcPr>
          <w:p w14:paraId="0FC74A3F" w14:textId="13AA6FC9" w:rsidR="00952C7D" w:rsidRDefault="00952C7D" w:rsidP="00952C7D">
            <w:pPr>
              <w:pStyle w:val="Tablecontent"/>
            </w:pPr>
            <w:r>
              <w:t>6</w:t>
            </w:r>
          </w:p>
        </w:tc>
      </w:tr>
      <w:tr w:rsidR="00952C7D" w:rsidRPr="00036AC2" w14:paraId="11E13855" w14:textId="6B7818CB" w:rsidTr="00952C7D">
        <w:trPr>
          <w:trHeight w:val="434"/>
          <w:jc w:val="center"/>
        </w:trPr>
        <w:tc>
          <w:tcPr>
            <w:tcW w:w="562" w:type="dxa"/>
            <w:tcBorders>
              <w:top w:val="single" w:sz="4" w:space="0" w:color="000000"/>
              <w:left w:val="single" w:sz="4" w:space="0" w:color="000000"/>
              <w:bottom w:val="single" w:sz="4" w:space="0" w:color="000000"/>
            </w:tcBorders>
            <w:vAlign w:val="center"/>
          </w:tcPr>
          <w:p w14:paraId="4D7D7BF4" w14:textId="61589D6E" w:rsidR="00952C7D" w:rsidRPr="00036AC2" w:rsidRDefault="00952C7D" w:rsidP="001775A1">
            <w:pPr>
              <w:pStyle w:val="Tablecontent"/>
            </w:pPr>
            <w:r>
              <w:t>4.5</w:t>
            </w:r>
          </w:p>
        </w:tc>
        <w:tc>
          <w:tcPr>
            <w:tcW w:w="851" w:type="dxa"/>
            <w:tcBorders>
              <w:top w:val="single" w:sz="4" w:space="0" w:color="000000"/>
              <w:left w:val="single" w:sz="4" w:space="0" w:color="000000"/>
              <w:bottom w:val="single" w:sz="4" w:space="0" w:color="000000"/>
            </w:tcBorders>
            <w:vAlign w:val="center"/>
          </w:tcPr>
          <w:p w14:paraId="18FE4DF1" w14:textId="14AF5ED0" w:rsidR="00952C7D" w:rsidRDefault="00952C7D" w:rsidP="00952C7D">
            <w:pPr>
              <w:pStyle w:val="Tablecontent"/>
            </w:pPr>
            <w:r>
              <w:t>0.35</w:t>
            </w:r>
          </w:p>
        </w:tc>
        <w:tc>
          <w:tcPr>
            <w:tcW w:w="851" w:type="dxa"/>
            <w:tcBorders>
              <w:top w:val="single" w:sz="4" w:space="0" w:color="000000"/>
              <w:left w:val="single" w:sz="4" w:space="0" w:color="000000"/>
              <w:bottom w:val="single" w:sz="4" w:space="0" w:color="000000"/>
              <w:right w:val="single" w:sz="4" w:space="0" w:color="000000"/>
            </w:tcBorders>
            <w:vAlign w:val="center"/>
          </w:tcPr>
          <w:p w14:paraId="620917C1" w14:textId="536F7B52" w:rsidR="00952C7D" w:rsidRPr="00036AC2" w:rsidRDefault="00952C7D" w:rsidP="00952C7D">
            <w:pPr>
              <w:pStyle w:val="Tablecontent"/>
            </w:pPr>
            <w:r>
              <w:t>0.55</w:t>
            </w:r>
          </w:p>
        </w:tc>
        <w:tc>
          <w:tcPr>
            <w:tcW w:w="851" w:type="dxa"/>
            <w:tcBorders>
              <w:top w:val="single" w:sz="4" w:space="0" w:color="000000"/>
              <w:left w:val="single" w:sz="4" w:space="0" w:color="000000"/>
              <w:bottom w:val="single" w:sz="4" w:space="0" w:color="000000"/>
              <w:right w:val="single" w:sz="4" w:space="0" w:color="000000"/>
            </w:tcBorders>
            <w:vAlign w:val="center"/>
          </w:tcPr>
          <w:p w14:paraId="7918D0D5" w14:textId="78EE1187" w:rsidR="00952C7D" w:rsidRDefault="00952C7D" w:rsidP="00952C7D">
            <w:pPr>
              <w:pStyle w:val="Tablecontent"/>
            </w:pPr>
            <w:r>
              <w:t>0.39</w:t>
            </w:r>
          </w:p>
        </w:tc>
        <w:tc>
          <w:tcPr>
            <w:tcW w:w="991" w:type="dxa"/>
            <w:tcBorders>
              <w:top w:val="single" w:sz="4" w:space="0" w:color="000000"/>
              <w:left w:val="single" w:sz="4" w:space="0" w:color="000000"/>
              <w:bottom w:val="single" w:sz="4" w:space="0" w:color="000000"/>
              <w:right w:val="single" w:sz="4" w:space="0" w:color="000000"/>
            </w:tcBorders>
            <w:vAlign w:val="center"/>
          </w:tcPr>
          <w:p w14:paraId="795C0FA4" w14:textId="0C8F3DED" w:rsidR="00952C7D" w:rsidRDefault="00952C7D" w:rsidP="00952C7D">
            <w:pPr>
              <w:pStyle w:val="Tablecontent"/>
            </w:pPr>
            <w:r>
              <w:t>4</w:t>
            </w:r>
          </w:p>
        </w:tc>
      </w:tr>
      <w:tr w:rsidR="00952C7D" w:rsidRPr="00036AC2" w14:paraId="2F6F3FA1" w14:textId="5BD0F5FF" w:rsidTr="00952C7D">
        <w:trPr>
          <w:trHeight w:val="434"/>
          <w:jc w:val="center"/>
        </w:trPr>
        <w:tc>
          <w:tcPr>
            <w:tcW w:w="562" w:type="dxa"/>
            <w:tcBorders>
              <w:top w:val="single" w:sz="4" w:space="0" w:color="000000"/>
              <w:left w:val="single" w:sz="4" w:space="0" w:color="000000"/>
              <w:bottom w:val="single" w:sz="4" w:space="0" w:color="000000"/>
            </w:tcBorders>
            <w:vAlign w:val="center"/>
          </w:tcPr>
          <w:p w14:paraId="083AD9F7" w14:textId="2E0C2646" w:rsidR="00952C7D" w:rsidRDefault="00952C7D" w:rsidP="001775A1">
            <w:pPr>
              <w:pStyle w:val="Tablecontent"/>
            </w:pPr>
            <w:r>
              <w:t>4.5</w:t>
            </w:r>
          </w:p>
        </w:tc>
        <w:tc>
          <w:tcPr>
            <w:tcW w:w="851" w:type="dxa"/>
            <w:tcBorders>
              <w:top w:val="single" w:sz="4" w:space="0" w:color="000000"/>
              <w:left w:val="single" w:sz="4" w:space="0" w:color="000000"/>
              <w:bottom w:val="single" w:sz="4" w:space="0" w:color="000000"/>
            </w:tcBorders>
            <w:vAlign w:val="center"/>
          </w:tcPr>
          <w:p w14:paraId="0B7BA9EB" w14:textId="3B3A8E20" w:rsidR="00952C7D" w:rsidRDefault="00952C7D" w:rsidP="00952C7D">
            <w:pPr>
              <w:pStyle w:val="Tablecontent"/>
            </w:pPr>
            <w:r>
              <w:t>0.50</w:t>
            </w:r>
          </w:p>
        </w:tc>
        <w:tc>
          <w:tcPr>
            <w:tcW w:w="851" w:type="dxa"/>
            <w:tcBorders>
              <w:top w:val="single" w:sz="4" w:space="0" w:color="000000"/>
              <w:left w:val="single" w:sz="4" w:space="0" w:color="000000"/>
              <w:bottom w:val="single" w:sz="4" w:space="0" w:color="000000"/>
              <w:right w:val="single" w:sz="4" w:space="0" w:color="000000"/>
            </w:tcBorders>
            <w:vAlign w:val="center"/>
          </w:tcPr>
          <w:p w14:paraId="54C89E57" w14:textId="160962D0" w:rsidR="00952C7D" w:rsidRDefault="00952C7D" w:rsidP="00952C7D">
            <w:pPr>
              <w:pStyle w:val="Tablecontent"/>
            </w:pPr>
            <w:r>
              <w:t>0.40</w:t>
            </w:r>
          </w:p>
        </w:tc>
        <w:tc>
          <w:tcPr>
            <w:tcW w:w="851" w:type="dxa"/>
            <w:tcBorders>
              <w:top w:val="single" w:sz="4" w:space="0" w:color="000000"/>
              <w:left w:val="single" w:sz="4" w:space="0" w:color="000000"/>
              <w:bottom w:val="single" w:sz="4" w:space="0" w:color="000000"/>
              <w:right w:val="single" w:sz="4" w:space="0" w:color="000000"/>
            </w:tcBorders>
            <w:vAlign w:val="center"/>
          </w:tcPr>
          <w:p w14:paraId="37822192" w14:textId="69E08A5E" w:rsidR="00952C7D" w:rsidRDefault="00952C7D" w:rsidP="00952C7D">
            <w:pPr>
              <w:pStyle w:val="Tablecontent"/>
            </w:pPr>
            <w:r>
              <w:t>0.43</w:t>
            </w:r>
          </w:p>
        </w:tc>
        <w:tc>
          <w:tcPr>
            <w:tcW w:w="991" w:type="dxa"/>
            <w:tcBorders>
              <w:top w:val="single" w:sz="4" w:space="0" w:color="000000"/>
              <w:left w:val="single" w:sz="4" w:space="0" w:color="000000"/>
              <w:bottom w:val="single" w:sz="4" w:space="0" w:color="000000"/>
              <w:right w:val="single" w:sz="4" w:space="0" w:color="000000"/>
            </w:tcBorders>
            <w:vAlign w:val="center"/>
          </w:tcPr>
          <w:p w14:paraId="7A7A155E" w14:textId="6E4760A5" w:rsidR="00952C7D" w:rsidRDefault="00952C7D" w:rsidP="00952C7D">
            <w:pPr>
              <w:pStyle w:val="Tablecontent"/>
            </w:pPr>
            <w:r>
              <w:t>5</w:t>
            </w:r>
          </w:p>
        </w:tc>
      </w:tr>
    </w:tbl>
    <w:p w14:paraId="009F0992" w14:textId="77777777" w:rsidR="00952C7D" w:rsidRPr="00EB59B3" w:rsidRDefault="00952C7D" w:rsidP="006B71BF">
      <w:pPr>
        <w:pStyle w:val="Paragraph"/>
      </w:pPr>
    </w:p>
    <w:p w14:paraId="433F90F1" w14:textId="5F2462DC" w:rsidR="00F9640A" w:rsidRDefault="00142B55" w:rsidP="006B71BF">
      <w:pPr>
        <w:pStyle w:val="Paragraph"/>
      </w:pPr>
      <w:r>
        <w:t>Table 4</w:t>
      </w:r>
      <w:r w:rsidR="00F9640A">
        <w:t xml:space="preserve"> shows the parameters of the simulated polarizers</w:t>
      </w:r>
      <w:r w:rsidR="00952C7D">
        <w:t xml:space="preserve"> for ODIN</w:t>
      </w:r>
      <w:r w:rsidR="00F9640A">
        <w:t>.</w:t>
      </w:r>
      <w:r w:rsidR="00952C7D">
        <w:t xml:space="preserve"> In this case we use a compact multichannel arrangement for the simulations. </w:t>
      </w:r>
    </w:p>
    <w:p w14:paraId="11F18251" w14:textId="6240EB78" w:rsidR="00B87747" w:rsidRPr="009B6AEF" w:rsidRDefault="007B6A54" w:rsidP="00B87747">
      <w:pPr>
        <w:pStyle w:val="Paragraphfirst"/>
        <w:jc w:val="center"/>
      </w:pPr>
      <w:r>
        <w:rPr>
          <w:noProof/>
          <w:lang w:val="sv-SE" w:eastAsia="sv-SE"/>
        </w:rPr>
        <w:drawing>
          <wp:inline distT="0" distB="0" distL="0" distR="0" wp14:anchorId="6F96571F" wp14:editId="009A8FCD">
            <wp:extent cx="2874397" cy="269618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11_c.png"/>
                    <pic:cNvPicPr/>
                  </pic:nvPicPr>
                  <pic:blipFill rotWithShape="1">
                    <a:blip r:embed="rId23">
                      <a:extLst>
                        <a:ext uri="{28A0092B-C50C-407E-A947-70E740481C1C}">
                          <a14:useLocalDpi xmlns:a14="http://schemas.microsoft.com/office/drawing/2010/main" val="0"/>
                        </a:ext>
                      </a:extLst>
                    </a:blip>
                    <a:srcRect l="4635" t="10393" r="11512" b="6439"/>
                    <a:stretch/>
                  </pic:blipFill>
                  <pic:spPr bwMode="auto">
                    <a:xfrm>
                      <a:off x="0" y="0"/>
                      <a:ext cx="2925901" cy="2744496"/>
                    </a:xfrm>
                    <a:prstGeom prst="rect">
                      <a:avLst/>
                    </a:prstGeom>
                    <a:ln>
                      <a:noFill/>
                    </a:ln>
                    <a:extLst>
                      <a:ext uri="{53640926-AAD7-44D8-BBD7-CCE9431645EC}">
                        <a14:shadowObscured xmlns:a14="http://schemas.microsoft.com/office/drawing/2010/main"/>
                      </a:ext>
                    </a:extLst>
                  </pic:spPr>
                </pic:pic>
              </a:graphicData>
            </a:graphic>
          </wp:inline>
        </w:drawing>
      </w:r>
    </w:p>
    <w:p w14:paraId="1FEEA587" w14:textId="71253BCA" w:rsidR="00B87747" w:rsidRPr="009B6AEF" w:rsidRDefault="00D2105E" w:rsidP="009B6AEF">
      <w:pPr>
        <w:pStyle w:val="FigureNumbering"/>
        <w:rPr>
          <w:b w:val="0"/>
        </w:rPr>
      </w:pPr>
      <w:r>
        <w:t>Fig. 15</w:t>
      </w:r>
      <w:r w:rsidR="00B87747" w:rsidRPr="00F6496A">
        <w:t xml:space="preserve">. </w:t>
      </w:r>
      <w:r w:rsidR="002066D3">
        <w:rPr>
          <w:b w:val="0"/>
        </w:rPr>
        <w:t>Spatial distribution of polarization at the detector position of the different simulated polarizers for ODIN</w:t>
      </w:r>
      <w:r w:rsidR="00D42937">
        <w:rPr>
          <w:b w:val="0"/>
        </w:rPr>
        <w:t xml:space="preserve"> described in table 4</w:t>
      </w:r>
      <w:r w:rsidR="002066D3">
        <w:rPr>
          <w:b w:val="0"/>
        </w:rPr>
        <w:t>.</w:t>
      </w:r>
    </w:p>
    <w:p w14:paraId="0CA666C6" w14:textId="40DEA39E" w:rsidR="000534C0" w:rsidRDefault="004C6CD6" w:rsidP="00D42937">
      <w:pPr>
        <w:pStyle w:val="Paragraph"/>
      </w:pPr>
      <w:r>
        <w:t>T</w:t>
      </w:r>
      <w:r w:rsidR="000D6BE2">
        <w:t>he spatial distribution of the polarization in the detector is also important to analyse in order to ensure that the whole detector area has the required polarization</w:t>
      </w:r>
      <w:r w:rsidR="00C252C3">
        <w:t>. Fig.</w:t>
      </w:r>
      <w:r w:rsidR="00D2105E">
        <w:t xml:space="preserve"> 15</w:t>
      </w:r>
      <w:r w:rsidR="00C252C3">
        <w:t xml:space="preserve"> shows</w:t>
      </w:r>
      <w:r w:rsidR="00C252C3" w:rsidRPr="00C252C3">
        <w:rPr>
          <w:lang w:val="en-US"/>
        </w:rPr>
        <w:t xml:space="preserve"> the spatial distribution of the polarization integrated over the operational wavelength range </w:t>
      </w:r>
      <w:r w:rsidR="00C252C3">
        <w:rPr>
          <w:lang w:val="en-US"/>
        </w:rPr>
        <w:t>for ODIN</w:t>
      </w:r>
      <w:r w:rsidR="000D6BE2">
        <w:rPr>
          <w:lang w:val="en-US"/>
        </w:rPr>
        <w:t xml:space="preserve"> (2.5-7.5 Å)</w:t>
      </w:r>
      <w:r w:rsidR="00C252C3">
        <w:rPr>
          <w:lang w:val="en-US"/>
        </w:rPr>
        <w:t xml:space="preserve">. In all cases the total polarization is over 95 %, as required. In all cases, the highest polarization is in the center of the beam and it decreases </w:t>
      </w:r>
      <w:r w:rsidR="00D42937">
        <w:rPr>
          <w:lang w:val="en-US"/>
        </w:rPr>
        <w:t xml:space="preserve">when it goes towards the borders. </w:t>
      </w:r>
    </w:p>
    <w:p w14:paraId="1897F921" w14:textId="2455C9D5" w:rsidR="00B41086" w:rsidRDefault="00D42937" w:rsidP="00B41086">
      <w:pPr>
        <w:pStyle w:val="Paragraphfirst"/>
        <w:jc w:val="center"/>
      </w:pPr>
      <w:r>
        <w:rPr>
          <w:noProof/>
          <w:lang w:val="sv-SE" w:eastAsia="sv-SE"/>
        </w:rPr>
        <w:drawing>
          <wp:inline distT="0" distB="0" distL="0" distR="0" wp14:anchorId="0A2CB11F" wp14:editId="6F93A356">
            <wp:extent cx="2830454" cy="21082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13_b.png"/>
                    <pic:cNvPicPr/>
                  </pic:nvPicPr>
                  <pic:blipFill rotWithShape="1">
                    <a:blip r:embed="rId24">
                      <a:extLst>
                        <a:ext uri="{28A0092B-C50C-407E-A947-70E740481C1C}">
                          <a14:useLocalDpi xmlns:a14="http://schemas.microsoft.com/office/drawing/2010/main" val="0"/>
                        </a:ext>
                      </a:extLst>
                    </a:blip>
                    <a:srcRect t="9569" r="8949"/>
                    <a:stretch/>
                  </pic:blipFill>
                  <pic:spPr bwMode="auto">
                    <a:xfrm>
                      <a:off x="0" y="0"/>
                      <a:ext cx="2840539" cy="2115712"/>
                    </a:xfrm>
                    <a:prstGeom prst="rect">
                      <a:avLst/>
                    </a:prstGeom>
                    <a:ln>
                      <a:noFill/>
                    </a:ln>
                    <a:extLst>
                      <a:ext uri="{53640926-AAD7-44D8-BBD7-CCE9431645EC}">
                        <a14:shadowObscured xmlns:a14="http://schemas.microsoft.com/office/drawing/2010/main"/>
                      </a:ext>
                    </a:extLst>
                  </pic:spPr>
                </pic:pic>
              </a:graphicData>
            </a:graphic>
          </wp:inline>
        </w:drawing>
      </w:r>
    </w:p>
    <w:p w14:paraId="659503BB" w14:textId="7AEFDDB7" w:rsidR="00B41086" w:rsidRPr="00B41086" w:rsidRDefault="00D2105E" w:rsidP="00B41086">
      <w:pPr>
        <w:pStyle w:val="FigureNumbering"/>
        <w:rPr>
          <w:b w:val="0"/>
        </w:rPr>
      </w:pPr>
      <w:r>
        <w:t>Fig. 16</w:t>
      </w:r>
      <w:r w:rsidR="00B41086" w:rsidRPr="00F6496A">
        <w:t xml:space="preserve">. </w:t>
      </w:r>
      <w:r w:rsidR="00D42937" w:rsidRPr="00D42937">
        <w:rPr>
          <w:rFonts w:ascii="Times" w:hAnsi="Times"/>
          <w:b w:val="0"/>
        </w:rPr>
        <w:t>Polarization at the sample position as a function of wavelength for the simulated polarizers in ODIN described in table 4</w:t>
      </w:r>
    </w:p>
    <w:p w14:paraId="0E8B5D09" w14:textId="1165B1DB" w:rsidR="000806EB" w:rsidRDefault="00D2105E" w:rsidP="00B41086">
      <w:pPr>
        <w:pStyle w:val="Paragraph"/>
        <w:rPr>
          <w:lang w:val="en-US"/>
        </w:rPr>
      </w:pPr>
      <w:r>
        <w:t>Fig. 16</w:t>
      </w:r>
      <w:r w:rsidR="003D3407">
        <w:t xml:space="preserve"> </w:t>
      </w:r>
      <w:r w:rsidR="00D42937">
        <w:t xml:space="preserve">shows, as in the </w:t>
      </w:r>
      <w:r w:rsidR="001C2F4C">
        <w:t>former cases</w:t>
      </w:r>
      <w:r w:rsidR="00D42937">
        <w:t xml:space="preserve">, the polarization averaged over the whole </w:t>
      </w:r>
      <w:r w:rsidR="000D6BE2">
        <w:t>detector area</w:t>
      </w:r>
      <w:r w:rsidR="00D42937">
        <w:t xml:space="preserve"> as a function of the wavelength</w:t>
      </w:r>
      <w:r w:rsidR="00B41086">
        <w:rPr>
          <w:lang w:val="en-US"/>
        </w:rPr>
        <w:t>.</w:t>
      </w:r>
      <w:r w:rsidR="00D42937">
        <w:rPr>
          <w:lang w:val="en-US"/>
        </w:rPr>
        <w:t xml:space="preserve"> In all cases, the polarization is within the required value. </w:t>
      </w:r>
      <w:r w:rsidR="00B41086">
        <w:rPr>
          <w:lang w:val="en-US"/>
        </w:rPr>
        <w:t xml:space="preserve"> </w:t>
      </w:r>
    </w:p>
    <w:p w14:paraId="4A175CBB" w14:textId="3C3BECB6" w:rsidR="00CC24BA" w:rsidRDefault="007B6A54" w:rsidP="00CC24BA">
      <w:pPr>
        <w:pStyle w:val="Paragraphfirst"/>
        <w:jc w:val="center"/>
      </w:pPr>
      <w:r>
        <w:rPr>
          <w:noProof/>
          <w:lang w:val="sv-SE" w:eastAsia="sv-SE"/>
        </w:rPr>
        <w:drawing>
          <wp:inline distT="0" distB="0" distL="0" distR="0" wp14:anchorId="61F4CD32" wp14:editId="7623216C">
            <wp:extent cx="2850543" cy="267367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13_c.png"/>
                    <pic:cNvPicPr/>
                  </pic:nvPicPr>
                  <pic:blipFill rotWithShape="1">
                    <a:blip r:embed="rId25">
                      <a:extLst>
                        <a:ext uri="{28A0092B-C50C-407E-A947-70E740481C1C}">
                          <a14:useLocalDpi xmlns:a14="http://schemas.microsoft.com/office/drawing/2010/main" val="0"/>
                        </a:ext>
                      </a:extLst>
                    </a:blip>
                    <a:srcRect l="4495" t="10393" r="11208" b="6004"/>
                    <a:stretch/>
                  </pic:blipFill>
                  <pic:spPr bwMode="auto">
                    <a:xfrm>
                      <a:off x="0" y="0"/>
                      <a:ext cx="2891305" cy="2711905"/>
                    </a:xfrm>
                    <a:prstGeom prst="rect">
                      <a:avLst/>
                    </a:prstGeom>
                    <a:ln>
                      <a:noFill/>
                    </a:ln>
                    <a:extLst>
                      <a:ext uri="{53640926-AAD7-44D8-BBD7-CCE9431645EC}">
                        <a14:shadowObscured xmlns:a14="http://schemas.microsoft.com/office/drawing/2010/main"/>
                      </a:ext>
                    </a:extLst>
                  </pic:spPr>
                </pic:pic>
              </a:graphicData>
            </a:graphic>
          </wp:inline>
        </w:drawing>
      </w:r>
    </w:p>
    <w:p w14:paraId="69EA6413" w14:textId="25431797" w:rsidR="00CC24BA" w:rsidRPr="009176C5" w:rsidRDefault="00D2105E" w:rsidP="009176C5">
      <w:pPr>
        <w:pStyle w:val="FigureNumbering"/>
        <w:rPr>
          <w:b w:val="0"/>
        </w:rPr>
      </w:pPr>
      <w:r>
        <w:t>Fig. 17</w:t>
      </w:r>
      <w:r w:rsidR="00CC24BA" w:rsidRPr="00F6496A">
        <w:t xml:space="preserve">. </w:t>
      </w:r>
      <w:r w:rsidR="000A3293">
        <w:rPr>
          <w:b w:val="0"/>
        </w:rPr>
        <w:t xml:space="preserve">Spatial distribution of the </w:t>
      </w:r>
      <w:r w:rsidR="004D080F">
        <w:rPr>
          <w:b w:val="0"/>
        </w:rPr>
        <w:t xml:space="preserve">uncorrected </w:t>
      </w:r>
      <w:r w:rsidR="000A3293">
        <w:rPr>
          <w:b w:val="0"/>
        </w:rPr>
        <w:t>transmission</w:t>
      </w:r>
      <w:r w:rsidR="002250D5">
        <w:rPr>
          <w:b w:val="0"/>
        </w:rPr>
        <w:t xml:space="preserve"> (see the text to see how it is calculated)</w:t>
      </w:r>
      <w:r w:rsidR="000A3293">
        <w:rPr>
          <w:b w:val="0"/>
        </w:rPr>
        <w:t xml:space="preserve"> at the detector position of the different simulated polarizers for ODIN described in table 4.</w:t>
      </w:r>
    </w:p>
    <w:p w14:paraId="0D7AAF84" w14:textId="08013C3C" w:rsidR="00CC24BA" w:rsidRPr="002250D5" w:rsidRDefault="00EB7D10" w:rsidP="00B41086">
      <w:pPr>
        <w:pStyle w:val="Paragraph"/>
        <w:rPr>
          <w:lang w:val="en-US"/>
        </w:rPr>
      </w:pPr>
      <w:r>
        <w:rPr>
          <w:lang w:val="en-US"/>
        </w:rPr>
        <w:t xml:space="preserve">The </w:t>
      </w:r>
      <w:r w:rsidR="000D6BE2">
        <w:rPr>
          <w:lang w:val="en-US"/>
        </w:rPr>
        <w:t xml:space="preserve">spatial </w:t>
      </w:r>
      <w:r>
        <w:rPr>
          <w:lang w:val="en-US"/>
        </w:rPr>
        <w:t xml:space="preserve">uniformity of the beam </w:t>
      </w:r>
      <w:r w:rsidR="000D6BE2">
        <w:rPr>
          <w:lang w:val="en-US"/>
        </w:rPr>
        <w:t>in the detector area</w:t>
      </w:r>
      <w:r>
        <w:rPr>
          <w:lang w:val="en-US"/>
        </w:rPr>
        <w:t xml:space="preserve"> is also important to study</w:t>
      </w:r>
      <w:r w:rsidR="000D6BE2">
        <w:rPr>
          <w:lang w:val="en-US"/>
        </w:rPr>
        <w:t xml:space="preserve"> </w:t>
      </w:r>
      <w:r w:rsidR="00056B08">
        <w:rPr>
          <w:lang w:val="en-US"/>
        </w:rPr>
        <w:t>as, in general, beam uniformity</w:t>
      </w:r>
      <w:r w:rsidR="004C6CD6">
        <w:rPr>
          <w:lang w:val="en-US"/>
        </w:rPr>
        <w:t xml:space="preserve"> is an important condition for imaging beamlines</w:t>
      </w:r>
      <w:r>
        <w:rPr>
          <w:lang w:val="en-US"/>
        </w:rPr>
        <w:t xml:space="preserve">. </w:t>
      </w:r>
      <w:r w:rsidR="002250D5">
        <w:rPr>
          <w:lang w:val="en-US"/>
        </w:rPr>
        <w:t xml:space="preserve">It is important to analyze if the polarizer introduces additional </w:t>
      </w:r>
      <w:proofErr w:type="spellStart"/>
      <w:r w:rsidR="002250D5">
        <w:rPr>
          <w:lang w:val="en-US"/>
        </w:rPr>
        <w:t>inhomogeneities</w:t>
      </w:r>
      <w:proofErr w:type="spellEnd"/>
      <w:r w:rsidR="002250D5">
        <w:rPr>
          <w:lang w:val="en-US"/>
        </w:rPr>
        <w:t xml:space="preserve"> to the beam. For that purpose, we can use the ratio between the with the chosen polarizer and the beam without the polarizer. </w:t>
      </w:r>
      <w:r w:rsidR="00D2105E">
        <w:rPr>
          <w:lang w:val="en-US"/>
        </w:rPr>
        <w:t>Fig 17</w:t>
      </w:r>
      <w:r w:rsidR="00CC24BA">
        <w:rPr>
          <w:lang w:val="en-US"/>
        </w:rPr>
        <w:t xml:space="preserve"> shows the </w:t>
      </w:r>
      <w:r>
        <w:rPr>
          <w:lang w:val="en-US"/>
        </w:rPr>
        <w:t>spatial distribution of transmission in the simulated cases integrated over the operating wavelength range</w:t>
      </w:r>
      <w:r w:rsidR="00B438D0">
        <w:rPr>
          <w:lang w:val="en-US"/>
        </w:rPr>
        <w:t xml:space="preserve"> withou</w:t>
      </w:r>
      <w:r w:rsidR="001C2F4C">
        <w:rPr>
          <w:lang w:val="en-US"/>
        </w:rPr>
        <w:t>t applying the effect of Si absorption</w:t>
      </w:r>
      <w:r>
        <w:rPr>
          <w:lang w:val="en-US"/>
        </w:rPr>
        <w:t xml:space="preserve">. </w:t>
      </w:r>
      <w:r w:rsidR="002250D5">
        <w:rPr>
          <w:lang w:val="en-US"/>
        </w:rPr>
        <w:t xml:space="preserve">There is are larger </w:t>
      </w:r>
      <w:proofErr w:type="spellStart"/>
      <w:r w:rsidR="002250D5">
        <w:rPr>
          <w:lang w:val="en-US"/>
        </w:rPr>
        <w:t>inhomogeneities</w:t>
      </w:r>
      <w:proofErr w:type="spellEnd"/>
      <w:r w:rsidR="002250D5">
        <w:rPr>
          <w:lang w:val="en-US"/>
        </w:rPr>
        <w:t xml:space="preserve"> created when increasing </w:t>
      </w:r>
      <w:proofErr w:type="spellStart"/>
      <w:r w:rsidR="002250D5" w:rsidRPr="00F9640A">
        <w:rPr>
          <w:rFonts w:cs="Times"/>
          <w:i/>
        </w:rPr>
        <w:t>θ</w:t>
      </w:r>
      <w:r w:rsidR="002250D5">
        <w:rPr>
          <w:i/>
          <w:vertAlign w:val="subscript"/>
        </w:rPr>
        <w:t>div,</w:t>
      </w:r>
      <w:r w:rsidR="002250D5" w:rsidRPr="00F9640A">
        <w:rPr>
          <w:i/>
          <w:vertAlign w:val="subscript"/>
        </w:rPr>
        <w:t>max</w:t>
      </w:r>
      <w:proofErr w:type="spellEnd"/>
      <w:r w:rsidR="002250D5">
        <w:t xml:space="preserve"> and decreasing </w:t>
      </w:r>
      <w:r w:rsidR="002250D5">
        <w:rPr>
          <w:i/>
        </w:rPr>
        <w:t>m</w:t>
      </w:r>
      <w:r w:rsidR="002250D5">
        <w:t xml:space="preserve"> (and therefore, decreasing </w:t>
      </w:r>
      <w:proofErr w:type="spellStart"/>
      <w:r w:rsidR="002250D5" w:rsidRPr="001E3CF9">
        <w:rPr>
          <w:rFonts w:cs="Times"/>
          <w:i/>
        </w:rPr>
        <w:t>θ</w:t>
      </w:r>
      <w:r w:rsidR="002250D5" w:rsidRPr="001E3CF9">
        <w:rPr>
          <w:i/>
          <w:vertAlign w:val="subscript"/>
        </w:rPr>
        <w:t>blade</w:t>
      </w:r>
      <w:proofErr w:type="spellEnd"/>
      <w:r w:rsidR="002250D5">
        <w:t xml:space="preserve">). It also appears transmissions over 0.50 in some cases, which should be </w:t>
      </w:r>
      <w:proofErr w:type="spellStart"/>
      <w:r w:rsidR="002250D5">
        <w:t>analyzed</w:t>
      </w:r>
      <w:proofErr w:type="spellEnd"/>
      <w:r w:rsidR="002250D5">
        <w:t xml:space="preserve"> in further studies.</w:t>
      </w:r>
    </w:p>
    <w:p w14:paraId="3F34B301" w14:textId="645D0E0A" w:rsidR="006A3AFB" w:rsidRPr="00D37F6D" w:rsidRDefault="00D37F6D" w:rsidP="00D37F6D">
      <w:pPr>
        <w:pStyle w:val="Paragraph"/>
        <w:ind w:firstLine="0"/>
        <w:jc w:val="center"/>
        <w:rPr>
          <w:lang w:val="en-US"/>
        </w:rPr>
      </w:pPr>
      <w:r>
        <w:rPr>
          <w:noProof/>
          <w:lang w:val="sv-SE" w:eastAsia="sv-SE"/>
        </w:rPr>
        <w:lastRenderedPageBreak/>
        <w:drawing>
          <wp:inline distT="0" distB="0" distL="0" distR="0" wp14:anchorId="55572E2F" wp14:editId="3997A853">
            <wp:extent cx="2869809" cy="2117819"/>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14_b_rev2.png"/>
                    <pic:cNvPicPr/>
                  </pic:nvPicPr>
                  <pic:blipFill rotWithShape="1">
                    <a:blip r:embed="rId26">
                      <a:extLst>
                        <a:ext uri="{28A0092B-C50C-407E-A947-70E740481C1C}">
                          <a14:useLocalDpi xmlns:a14="http://schemas.microsoft.com/office/drawing/2010/main" val="0"/>
                        </a:ext>
                      </a:extLst>
                    </a:blip>
                    <a:srcRect t="10269" r="8812"/>
                    <a:stretch/>
                  </pic:blipFill>
                  <pic:spPr bwMode="auto">
                    <a:xfrm>
                      <a:off x="0" y="0"/>
                      <a:ext cx="2889486" cy="2132340"/>
                    </a:xfrm>
                    <a:prstGeom prst="rect">
                      <a:avLst/>
                    </a:prstGeom>
                    <a:ln>
                      <a:noFill/>
                    </a:ln>
                    <a:extLst>
                      <a:ext uri="{53640926-AAD7-44D8-BBD7-CCE9431645EC}">
                        <a14:shadowObscured xmlns:a14="http://schemas.microsoft.com/office/drawing/2010/main"/>
                      </a:ext>
                    </a:extLst>
                  </pic:spPr>
                </pic:pic>
              </a:graphicData>
            </a:graphic>
          </wp:inline>
        </w:drawing>
      </w:r>
    </w:p>
    <w:p w14:paraId="44CC3997" w14:textId="2814E831" w:rsidR="006A3AFB" w:rsidRPr="006A3AFB" w:rsidRDefault="001C2F4C" w:rsidP="006A3AFB">
      <w:pPr>
        <w:tabs>
          <w:tab w:val="left" w:pos="4536"/>
        </w:tabs>
        <w:spacing w:before="120" w:after="120"/>
        <w:rPr>
          <w:rFonts w:ascii="Times New Roman" w:hAnsi="Times New Roman"/>
          <w:b/>
          <w:bCs/>
          <w:sz w:val="18"/>
          <w:szCs w:val="18"/>
          <w:lang w:val="en-GB"/>
        </w:rPr>
      </w:pPr>
      <w:r>
        <w:rPr>
          <w:rFonts w:ascii="Times New Roman" w:hAnsi="Times New Roman"/>
          <w:b/>
          <w:bCs/>
          <w:sz w:val="18"/>
          <w:szCs w:val="18"/>
          <w:lang w:val="en-GB"/>
        </w:rPr>
        <w:t>Fig. 18</w:t>
      </w:r>
      <w:r w:rsidR="006A3AFB" w:rsidRPr="006A58AE">
        <w:rPr>
          <w:rFonts w:ascii="Times New Roman" w:hAnsi="Times New Roman"/>
          <w:b/>
          <w:bCs/>
          <w:sz w:val="18"/>
          <w:szCs w:val="18"/>
          <w:lang w:val="en-GB"/>
        </w:rPr>
        <w:t xml:space="preserve">. </w:t>
      </w:r>
      <w:r>
        <w:rPr>
          <w:rFonts w:ascii="Times New Roman" w:hAnsi="Times New Roman"/>
          <w:bCs/>
          <w:sz w:val="18"/>
          <w:szCs w:val="18"/>
          <w:lang w:val="en-GB"/>
        </w:rPr>
        <w:t xml:space="preserve">Corrected </w:t>
      </w:r>
      <w:r>
        <w:rPr>
          <w:rFonts w:ascii="Times" w:hAnsi="Times"/>
          <w:sz w:val="18"/>
          <w:szCs w:val="18"/>
          <w:lang w:val="en-GB"/>
        </w:rPr>
        <w:t>t</w:t>
      </w:r>
      <w:r w:rsidR="00F9776B">
        <w:rPr>
          <w:rFonts w:ascii="Times" w:hAnsi="Times"/>
          <w:sz w:val="18"/>
          <w:szCs w:val="18"/>
          <w:lang w:val="en-GB"/>
        </w:rPr>
        <w:t>ransmission</w:t>
      </w:r>
      <w:r w:rsidR="006A3AFB">
        <w:rPr>
          <w:rFonts w:ascii="Times" w:hAnsi="Times"/>
          <w:sz w:val="18"/>
          <w:szCs w:val="18"/>
          <w:lang w:val="en-GB"/>
        </w:rPr>
        <w:t xml:space="preserve"> at the sample position as a function of wavelength for the simulated polarizers in ODIN described in table 4. </w:t>
      </w:r>
    </w:p>
    <w:p w14:paraId="5DC130AB" w14:textId="43400894" w:rsidR="00935CD8" w:rsidRDefault="003203C1" w:rsidP="006368A4">
      <w:pPr>
        <w:pStyle w:val="Paragraph"/>
        <w:rPr>
          <w:lang w:val="en-US"/>
        </w:rPr>
      </w:pPr>
      <w:r>
        <w:rPr>
          <w:lang w:val="en-US"/>
        </w:rPr>
        <w:t>Fig. 18</w:t>
      </w:r>
      <w:r w:rsidR="00FD261F">
        <w:rPr>
          <w:lang w:val="en-US"/>
        </w:rPr>
        <w:t xml:space="preserve"> shows the </w:t>
      </w:r>
      <w:r w:rsidR="00F9776B">
        <w:rPr>
          <w:lang w:val="en-US"/>
        </w:rPr>
        <w:t>transmission</w:t>
      </w:r>
      <w:r w:rsidR="00FD261F">
        <w:rPr>
          <w:lang w:val="en-US"/>
        </w:rPr>
        <w:t xml:space="preserve"> at the detector position for the </w:t>
      </w:r>
      <w:r w:rsidR="00935CD8">
        <w:rPr>
          <w:lang w:val="en-US"/>
        </w:rPr>
        <w:t>simulated devices</w:t>
      </w:r>
      <w:r w:rsidR="00FD261F">
        <w:rPr>
          <w:lang w:val="en-US"/>
        </w:rPr>
        <w:t>.</w:t>
      </w:r>
      <w:r w:rsidR="00F9776B">
        <w:rPr>
          <w:lang w:val="en-US"/>
        </w:rPr>
        <w:t xml:space="preserve"> In all the simulated polarizers, the transmission is high for shorter wavelengths and the transmission decreases as a function of wavelength</w:t>
      </w:r>
      <w:r w:rsidR="00FD261F">
        <w:rPr>
          <w:lang w:val="en-US"/>
        </w:rPr>
        <w:t>.</w:t>
      </w:r>
      <w:r w:rsidR="00F9776B">
        <w:rPr>
          <w:lang w:val="en-US"/>
        </w:rPr>
        <w:t xml:space="preserve"> </w:t>
      </w:r>
      <w:r w:rsidR="006368A4">
        <w:rPr>
          <w:lang w:val="en-US"/>
        </w:rPr>
        <w:t xml:space="preserve">In some cases, the transmission at the longer wavelength range can be lower than 0.30. </w:t>
      </w:r>
      <w:r w:rsidR="00F9776B">
        <w:rPr>
          <w:lang w:val="en-US"/>
        </w:rPr>
        <w:t xml:space="preserve">It is also important to point out that transmission is better with increasing m but decreasing </w:t>
      </w:r>
      <w:proofErr w:type="spellStart"/>
      <w:r w:rsidR="00F9776B" w:rsidRPr="00F24923">
        <w:rPr>
          <w:rFonts w:cs="Times"/>
          <w:i/>
          <w:lang w:val="en-US"/>
        </w:rPr>
        <w:t>θ</w:t>
      </w:r>
      <w:r w:rsidR="00F9776B" w:rsidRPr="00F24923">
        <w:rPr>
          <w:i/>
          <w:vertAlign w:val="subscript"/>
          <w:lang w:val="en-US"/>
        </w:rPr>
        <w:t>div,max</w:t>
      </w:r>
      <w:proofErr w:type="spellEnd"/>
      <w:r w:rsidR="006368A4">
        <w:rPr>
          <w:lang w:val="en-US"/>
        </w:rPr>
        <w:t xml:space="preserve">. </w:t>
      </w:r>
      <w:r w:rsidR="00935CD8">
        <w:rPr>
          <w:lang w:val="en-US"/>
        </w:rPr>
        <w:t xml:space="preserve"> </w:t>
      </w:r>
    </w:p>
    <w:p w14:paraId="0A95E38B" w14:textId="390703E8" w:rsidR="003203C1" w:rsidRDefault="003203C1" w:rsidP="006368A4">
      <w:pPr>
        <w:pStyle w:val="Paragraph"/>
        <w:rPr>
          <w:lang w:val="en-US"/>
        </w:rPr>
      </w:pPr>
      <w:r>
        <w:rPr>
          <w:lang w:val="en-US"/>
        </w:rPr>
        <w:t>Unlike the former cases, the results obtained for ODIN do not lead to an obvious technical choice to be impleme</w:t>
      </w:r>
      <w:r w:rsidR="00C92C29">
        <w:rPr>
          <w:lang w:val="en-US"/>
        </w:rPr>
        <w:t xml:space="preserve">nted. Although the required polarization is obtained with a sufficient degree of spatial uniformity (figs. 15-16), the transmission is strongly dependent of the wavelength (fig. 18). </w:t>
      </w:r>
    </w:p>
    <w:p w14:paraId="5D2DAB01" w14:textId="497F0C6C" w:rsidR="002C1069" w:rsidRDefault="002C1069" w:rsidP="006368A4">
      <w:pPr>
        <w:pStyle w:val="Paragraph"/>
        <w:rPr>
          <w:lang w:val="en-US"/>
        </w:rPr>
      </w:pPr>
      <w:r>
        <w:rPr>
          <w:lang w:val="en-US"/>
        </w:rPr>
        <w:t>In add</w:t>
      </w:r>
      <w:r w:rsidR="00A037D8">
        <w:rPr>
          <w:lang w:val="en-US"/>
        </w:rPr>
        <w:t xml:space="preserve">ition to that, homogeneity of the beam is also important, and fig. 17 shows strong </w:t>
      </w:r>
      <w:proofErr w:type="spellStart"/>
      <w:r w:rsidR="00A037D8">
        <w:rPr>
          <w:lang w:val="en-US"/>
        </w:rPr>
        <w:t>inhomogeneities</w:t>
      </w:r>
      <w:proofErr w:type="spellEnd"/>
      <w:r w:rsidR="00A037D8">
        <w:rPr>
          <w:lang w:val="en-US"/>
        </w:rPr>
        <w:t xml:space="preserve"> in some of the cases that are not acceptable to conduct an experiment. It is also important to point out that, as the incoming beam is more divergent and the Si absorption is very dependent on the path through it, there may be additional </w:t>
      </w:r>
      <w:proofErr w:type="spellStart"/>
      <w:r w:rsidR="00A037D8">
        <w:rPr>
          <w:lang w:val="en-US"/>
        </w:rPr>
        <w:t>inhomogeneities</w:t>
      </w:r>
      <w:proofErr w:type="spellEnd"/>
      <w:r w:rsidR="00A037D8">
        <w:rPr>
          <w:lang w:val="en-US"/>
        </w:rPr>
        <w:t xml:space="preserve"> that are not taken into account in the simulation.</w:t>
      </w:r>
    </w:p>
    <w:p w14:paraId="0054208A" w14:textId="7EABF107" w:rsidR="00AC126B" w:rsidRDefault="00A037D8" w:rsidP="00AC126B">
      <w:pPr>
        <w:pStyle w:val="Paragraph"/>
        <w:rPr>
          <w:lang w:val="en-US"/>
        </w:rPr>
      </w:pPr>
      <w:r>
        <w:rPr>
          <w:lang w:val="en-US"/>
        </w:rPr>
        <w:t xml:space="preserve">Despite not being able to find a conclusive solution for ODIN, the results indicate very important trends to find a more convenient solution. </w:t>
      </w:r>
      <w:r w:rsidR="00672F8E">
        <w:rPr>
          <w:lang w:val="en-US"/>
        </w:rPr>
        <w:t xml:space="preserve">A higher </w:t>
      </w:r>
      <w:r w:rsidR="00672F8E">
        <w:rPr>
          <w:i/>
          <w:lang w:val="en-US"/>
        </w:rPr>
        <w:t>m</w:t>
      </w:r>
      <w:r w:rsidR="00672F8E">
        <w:rPr>
          <w:lang w:val="en-US"/>
        </w:rPr>
        <w:t xml:space="preserve"> in the coating and a higher </w:t>
      </w:r>
      <w:proofErr w:type="spellStart"/>
      <w:r w:rsidR="00672F8E" w:rsidRPr="009E32CC">
        <w:rPr>
          <w:rFonts w:cs="Times"/>
          <w:i/>
          <w:lang w:val="en-US"/>
        </w:rPr>
        <w:t>θ</w:t>
      </w:r>
      <w:r w:rsidR="00672F8E" w:rsidRPr="009E32CC">
        <w:rPr>
          <w:i/>
          <w:vertAlign w:val="subscript"/>
          <w:lang w:val="en-US"/>
        </w:rPr>
        <w:t>blade</w:t>
      </w:r>
      <w:proofErr w:type="spellEnd"/>
      <w:r w:rsidR="00672F8E">
        <w:rPr>
          <w:lang w:val="en-US"/>
        </w:rPr>
        <w:t xml:space="preserve"> in the polarizer produces a higher transmission and a higher uniformity in the beam arriving to the detector. </w:t>
      </w:r>
    </w:p>
    <w:p w14:paraId="254A89CA" w14:textId="1A4D1171" w:rsidR="00AC126B" w:rsidRPr="00AC126B" w:rsidRDefault="00AC126B" w:rsidP="00AC126B">
      <w:pPr>
        <w:pStyle w:val="Paragraph"/>
        <w:rPr>
          <w:lang w:val="en-US"/>
        </w:rPr>
      </w:pPr>
      <w:r>
        <w:rPr>
          <w:lang w:val="en-US"/>
        </w:rPr>
        <w:t xml:space="preserve">Taking into account these trends, a higher </w:t>
      </w:r>
      <w:r>
        <w:rPr>
          <w:i/>
          <w:lang w:val="en-US"/>
        </w:rPr>
        <w:t>m</w:t>
      </w:r>
      <w:r>
        <w:rPr>
          <w:lang w:val="en-US"/>
        </w:rPr>
        <w:t xml:space="preserve"> </w:t>
      </w:r>
      <w:r w:rsidR="00264FBA">
        <w:rPr>
          <w:lang w:val="en-US"/>
        </w:rPr>
        <w:t xml:space="preserve">than the ones analyzed in the study would improve the performance, leading to </w:t>
      </w:r>
      <w:r>
        <w:rPr>
          <w:lang w:val="en-US"/>
        </w:rPr>
        <w:t>important increase</w:t>
      </w:r>
      <w:r w:rsidR="00264FBA">
        <w:rPr>
          <w:lang w:val="en-US"/>
        </w:rPr>
        <w:t>s</w:t>
      </w:r>
      <w:r>
        <w:rPr>
          <w:lang w:val="en-US"/>
        </w:rPr>
        <w:t xml:space="preserve"> in cost. In that case, other solutions would need to be explored in further studies, like for example a fan arrangement where each channel has a different angle</w:t>
      </w:r>
      <w:r w:rsidR="00264FBA">
        <w:rPr>
          <w:lang w:val="en-US"/>
        </w:rPr>
        <w:t xml:space="preserve"> or a logarithmic spiral geometry of the mirrors [</w:t>
      </w:r>
      <w:r w:rsidR="00EA11FD">
        <w:rPr>
          <w:lang w:val="en-US"/>
        </w:rPr>
        <w:t>26</w:t>
      </w:r>
      <w:r w:rsidR="00264FBA">
        <w:rPr>
          <w:lang w:val="en-US"/>
        </w:rPr>
        <w:t>]</w:t>
      </w:r>
      <w:r>
        <w:rPr>
          <w:lang w:val="en-US"/>
        </w:rPr>
        <w:t xml:space="preserve">. </w:t>
      </w:r>
    </w:p>
    <w:p w14:paraId="3BCDA8BD" w14:textId="3E8BBB49" w:rsidR="008F13AC" w:rsidRDefault="008F13AC" w:rsidP="008F13AC">
      <w:pPr>
        <w:pStyle w:val="Section"/>
      </w:pPr>
      <w:r>
        <w:t>Conclusions</w:t>
      </w:r>
    </w:p>
    <w:p w14:paraId="119CBE3C" w14:textId="2A1218F5" w:rsidR="008F13AC" w:rsidRDefault="005B0EBD" w:rsidP="008F13AC">
      <w:pPr>
        <w:pStyle w:val="Paragraphfirst"/>
      </w:pPr>
      <w:r>
        <w:t>This study presents the conceptual design of the supermirror polarizers for three instruments at ESS: MIRACLES (backscattering spectroscopy), BIFROST (</w:t>
      </w:r>
      <w:r w:rsidR="00EC0D4E">
        <w:t>in</w:t>
      </w:r>
      <w:r>
        <w:t xml:space="preserve">direct geometry spectroscopy) and ODIN (imaging). All the three instruments have different requirements and constraints that have to be taken into account (see </w:t>
      </w:r>
      <w:r>
        <w:t xml:space="preserve">table 1).  </w:t>
      </w:r>
      <w:r w:rsidR="00E06CBF">
        <w:t>In all cases, it is studied the performance of polarizers in transmission geometry, as they perform better in the required operating wavelength range</w:t>
      </w:r>
      <w:r w:rsidR="005E2043">
        <w:t xml:space="preserve"> (table 1, column 3)</w:t>
      </w:r>
      <w:r w:rsidR="00E06CBF">
        <w:t>.</w:t>
      </w:r>
      <w:r w:rsidR="00EE452C">
        <w:t xml:space="preserve"> </w:t>
      </w:r>
    </w:p>
    <w:p w14:paraId="161E0E8F" w14:textId="2065DDB4" w:rsidR="002B5EE3" w:rsidRDefault="00EE452C" w:rsidP="004301F2">
      <w:pPr>
        <w:pStyle w:val="Paragraph"/>
        <w:rPr>
          <w:lang w:val="en-US"/>
        </w:rPr>
      </w:pPr>
      <w:r>
        <w:rPr>
          <w:lang w:val="en-US"/>
        </w:rPr>
        <w:t>The cases of MIRACLES and BIFROST are very similar, as can be observed in figs. 4 and 8. The proposed solution places the polarizer in the guide system before the focusing section that both have. The optimal parameters have been found that ensures a high polarization and a high transmission (</w:t>
      </w:r>
      <w:proofErr w:type="spellStart"/>
      <w:r>
        <w:rPr>
          <w:lang w:val="en-US"/>
        </w:rPr>
        <w:t>i</w:t>
      </w:r>
      <w:proofErr w:type="spellEnd"/>
      <w:r>
        <w:rPr>
          <w:lang w:val="en-US"/>
        </w:rPr>
        <w:t>. e., a higher flux at the sample position).</w:t>
      </w:r>
    </w:p>
    <w:p w14:paraId="7EF70107" w14:textId="156AEA3F" w:rsidR="00EE452C" w:rsidRPr="00003A10" w:rsidRDefault="00EE452C" w:rsidP="004301F2">
      <w:pPr>
        <w:pStyle w:val="Paragraph"/>
      </w:pPr>
      <w:r>
        <w:rPr>
          <w:lang w:val="en-US"/>
        </w:rPr>
        <w:t>In the case of ODIN (fig. 12), the main constraint is that the polarizer has to be placed in the cave, where the beam is more divergent. Even if the polarization obtaine</w:t>
      </w:r>
      <w:r w:rsidR="00003A10">
        <w:rPr>
          <w:lang w:val="en-US"/>
        </w:rPr>
        <w:t xml:space="preserve">d at the detector position is within the requirements, transmission is lower than the other cases and strongly dependent on the wavelength. In addition to that, beam </w:t>
      </w:r>
      <w:proofErr w:type="spellStart"/>
      <w:r w:rsidR="00003A10">
        <w:rPr>
          <w:lang w:val="en-US"/>
        </w:rPr>
        <w:t>inhomogeneities</w:t>
      </w:r>
      <w:proofErr w:type="spellEnd"/>
      <w:r w:rsidR="00003A10">
        <w:rPr>
          <w:lang w:val="en-US"/>
        </w:rPr>
        <w:t xml:space="preserve"> have to be taken into account to find the most convenient solution. The trends in </w:t>
      </w:r>
      <w:r w:rsidR="00420B36">
        <w:rPr>
          <w:lang w:val="en-US"/>
        </w:rPr>
        <w:t xml:space="preserve">the </w:t>
      </w:r>
      <w:r w:rsidR="00003A10">
        <w:rPr>
          <w:lang w:val="en-US"/>
        </w:rPr>
        <w:t>result</w:t>
      </w:r>
      <w:r w:rsidR="00420B36">
        <w:rPr>
          <w:lang w:val="en-US"/>
        </w:rPr>
        <w:t>s</w:t>
      </w:r>
      <w:r w:rsidR="00003A10">
        <w:rPr>
          <w:lang w:val="en-US"/>
        </w:rPr>
        <w:t xml:space="preserve"> show that a higher </w:t>
      </w:r>
      <w:r w:rsidR="00003A10">
        <w:rPr>
          <w:i/>
          <w:lang w:val="en-US"/>
        </w:rPr>
        <w:t>m</w:t>
      </w:r>
      <w:r w:rsidR="00003A10">
        <w:rPr>
          <w:lang w:val="en-US"/>
        </w:rPr>
        <w:t xml:space="preserve"> in the coating and a higher angle of the blades (</w:t>
      </w:r>
      <w:proofErr w:type="spellStart"/>
      <w:r w:rsidR="00003A10" w:rsidRPr="009E32CC">
        <w:rPr>
          <w:rFonts w:cs="Times"/>
          <w:i/>
          <w:lang w:val="en-US"/>
        </w:rPr>
        <w:t>θ</w:t>
      </w:r>
      <w:r w:rsidR="00003A10" w:rsidRPr="009E32CC">
        <w:rPr>
          <w:i/>
          <w:vertAlign w:val="subscript"/>
          <w:lang w:val="en-US"/>
        </w:rPr>
        <w:t>blade</w:t>
      </w:r>
      <w:proofErr w:type="spellEnd"/>
      <w:r w:rsidR="00003A10">
        <w:rPr>
          <w:lang w:val="en-US"/>
        </w:rPr>
        <w:t>) lead to a higher transmission and a more uniform beam. This would lead to a solution with high costs pushing the technological limits of polarizing supermirror coating. Therefore, other solutions with different mirror arrangements will be explored in further studies.</w:t>
      </w:r>
    </w:p>
    <w:p w14:paraId="1A214FA1" w14:textId="77777777" w:rsidR="00DB3B4E" w:rsidRPr="00A473A5" w:rsidRDefault="00DB3B4E" w:rsidP="006B7025">
      <w:pPr>
        <w:pStyle w:val="Section0"/>
      </w:pPr>
      <w:r w:rsidRPr="00A473A5">
        <w:t>References</w:t>
      </w:r>
    </w:p>
    <w:p w14:paraId="02F7C0C5" w14:textId="7D8EC6D9" w:rsidR="005325F6" w:rsidRDefault="005325F6" w:rsidP="005325F6">
      <w:pPr>
        <w:pStyle w:val="ReferencesBody"/>
      </w:pPr>
      <w:r>
        <w:t xml:space="preserve">W. G. Gavin, </w:t>
      </w:r>
      <w:r w:rsidRPr="00611DB0">
        <w:rPr>
          <w:rStyle w:val="ReferencesBody-BookProceedingstitleCar"/>
        </w:rPr>
        <w:t>Polarized Neutrons</w:t>
      </w:r>
      <w:r>
        <w:t xml:space="preserve"> (Clarendon Press, Oxford, 1988)</w:t>
      </w:r>
    </w:p>
    <w:p w14:paraId="4D4D1D45" w14:textId="467C7809" w:rsidR="00722413" w:rsidRDefault="00722413" w:rsidP="00722413">
      <w:pPr>
        <w:pStyle w:val="ReferencesBody"/>
      </w:pPr>
      <w:r>
        <w:t xml:space="preserve">F. </w:t>
      </w:r>
      <w:proofErr w:type="spellStart"/>
      <w:r>
        <w:t>Mezei</w:t>
      </w:r>
      <w:proofErr w:type="spellEnd"/>
      <w:r>
        <w:t xml:space="preserve">, C. Pappas, Th. </w:t>
      </w:r>
      <w:proofErr w:type="spellStart"/>
      <w:r>
        <w:t>Gutberlet</w:t>
      </w:r>
      <w:proofErr w:type="spellEnd"/>
      <w:r>
        <w:t xml:space="preserve"> eds., </w:t>
      </w:r>
      <w:r w:rsidRPr="00611DB0">
        <w:rPr>
          <w:rStyle w:val="ReferencesBody-BookProceedingstitleCar"/>
        </w:rPr>
        <w:t>Neutron spin echo spectroscopy</w:t>
      </w:r>
      <w:r>
        <w:t xml:space="preserve"> (Springer Berlin, Heidelberg, 2003)</w:t>
      </w:r>
    </w:p>
    <w:p w14:paraId="3015CA49" w14:textId="46EBD514" w:rsidR="009E637A" w:rsidRDefault="0074226D" w:rsidP="00722413">
      <w:pPr>
        <w:pStyle w:val="ReferencesBody"/>
      </w:pPr>
      <w:r>
        <w:t xml:space="preserve">J. </w:t>
      </w:r>
      <w:proofErr w:type="spellStart"/>
      <w:r>
        <w:t>Stahn</w:t>
      </w:r>
      <w:proofErr w:type="spellEnd"/>
      <w:r w:rsidR="00537043">
        <w:t xml:space="preserve">, D. Clemens, Appl. Phys. A </w:t>
      </w:r>
      <w:r w:rsidR="00537043">
        <w:rPr>
          <w:b/>
        </w:rPr>
        <w:t>74</w:t>
      </w:r>
      <w:r w:rsidR="00537043">
        <w:t>, S1532 (2002)</w:t>
      </w:r>
    </w:p>
    <w:p w14:paraId="0C413519" w14:textId="76F496F0" w:rsidR="00722413" w:rsidRPr="005658F1" w:rsidRDefault="00F56804" w:rsidP="00722413">
      <w:pPr>
        <w:pStyle w:val="ReferencesBody"/>
        <w:rPr>
          <w:lang w:val="en-US"/>
        </w:rPr>
      </w:pPr>
      <w:r w:rsidRPr="009268CB">
        <w:rPr>
          <w:lang w:val="en-US"/>
        </w:rPr>
        <w:t xml:space="preserve">K. H. Andersen, D. </w:t>
      </w:r>
      <w:proofErr w:type="spellStart"/>
      <w:r w:rsidRPr="009268CB">
        <w:rPr>
          <w:lang w:val="en-US"/>
        </w:rPr>
        <w:t>Jullien</w:t>
      </w:r>
      <w:proofErr w:type="spellEnd"/>
      <w:r w:rsidRPr="009268CB">
        <w:rPr>
          <w:lang w:val="en-US"/>
        </w:rPr>
        <w:t xml:space="preserve">, A. K. </w:t>
      </w:r>
      <w:proofErr w:type="spellStart"/>
      <w:r w:rsidRPr="009268CB">
        <w:rPr>
          <w:lang w:val="en-US"/>
        </w:rPr>
        <w:t>Petoukhov</w:t>
      </w:r>
      <w:proofErr w:type="spellEnd"/>
      <w:r w:rsidRPr="009268CB">
        <w:rPr>
          <w:lang w:val="en-US"/>
        </w:rPr>
        <w:t xml:space="preserve">, P. </w:t>
      </w:r>
      <w:proofErr w:type="spellStart"/>
      <w:r w:rsidRPr="009268CB">
        <w:rPr>
          <w:lang w:val="en-US"/>
        </w:rPr>
        <w:t>Mouveau</w:t>
      </w:r>
      <w:proofErr w:type="spellEnd"/>
      <w:r w:rsidRPr="009268CB">
        <w:rPr>
          <w:lang w:val="en-US"/>
        </w:rPr>
        <w:t xml:space="preserve">, F. </w:t>
      </w:r>
      <w:proofErr w:type="spellStart"/>
      <w:r w:rsidRPr="009268CB">
        <w:rPr>
          <w:lang w:val="en-US"/>
        </w:rPr>
        <w:t>Bordenave</w:t>
      </w:r>
      <w:proofErr w:type="spellEnd"/>
      <w:r w:rsidRPr="009268CB">
        <w:rPr>
          <w:lang w:val="en-US"/>
        </w:rPr>
        <w:t>, F. Thomas, E. Babcock</w:t>
      </w:r>
      <w:r>
        <w:rPr>
          <w:lang w:val="en-US"/>
        </w:rPr>
        <w:t>,</w:t>
      </w:r>
      <w:r w:rsidRPr="009268CB">
        <w:t xml:space="preserve"> </w:t>
      </w:r>
      <w:proofErr w:type="spellStart"/>
      <w:r w:rsidRPr="009268CB">
        <w:rPr>
          <w:lang w:val="en-US"/>
        </w:rPr>
        <w:t>Physica</w:t>
      </w:r>
      <w:proofErr w:type="spellEnd"/>
      <w:r w:rsidRPr="009268CB">
        <w:rPr>
          <w:lang w:val="en-US"/>
        </w:rPr>
        <w:t xml:space="preserve"> B</w:t>
      </w:r>
      <w:r>
        <w:rPr>
          <w:lang w:val="en-US"/>
        </w:rPr>
        <w:t xml:space="preserve"> </w:t>
      </w:r>
      <w:r w:rsidRPr="009B1F2C">
        <w:rPr>
          <w:b/>
          <w:bCs/>
          <w:lang w:val="en-US"/>
        </w:rPr>
        <w:t>404</w:t>
      </w:r>
      <w:r w:rsidRPr="009B1F2C">
        <w:rPr>
          <w:lang w:val="en-US"/>
        </w:rPr>
        <w:t>, 2652</w:t>
      </w:r>
      <w:r>
        <w:rPr>
          <w:lang w:val="en-US"/>
        </w:rPr>
        <w:t xml:space="preserve"> (2009), </w:t>
      </w:r>
      <w:r w:rsidR="005658F1" w:rsidRPr="005658F1">
        <w:rPr>
          <w:lang w:val="en-US"/>
        </w:rPr>
        <w:t xml:space="preserve">G. L. Jones, T. R. Gentile, A. K. Thompson, Z. </w:t>
      </w:r>
      <w:proofErr w:type="spellStart"/>
      <w:r w:rsidR="005658F1">
        <w:rPr>
          <w:lang w:val="en-US"/>
        </w:rPr>
        <w:t>Chowdhuri</w:t>
      </w:r>
      <w:proofErr w:type="spellEnd"/>
      <w:r w:rsidR="005658F1">
        <w:rPr>
          <w:lang w:val="en-US"/>
        </w:rPr>
        <w:t xml:space="preserve">, M. S. Dewey, W. M. Snow, F. E. </w:t>
      </w:r>
      <w:proofErr w:type="spellStart"/>
      <w:r w:rsidR="005658F1">
        <w:rPr>
          <w:lang w:val="en-US"/>
        </w:rPr>
        <w:t>Wietfeldt</w:t>
      </w:r>
      <w:proofErr w:type="spellEnd"/>
      <w:r w:rsidR="005658F1">
        <w:rPr>
          <w:lang w:val="en-US"/>
        </w:rPr>
        <w:t xml:space="preserve">, </w:t>
      </w:r>
      <w:proofErr w:type="spellStart"/>
      <w:r w:rsidR="005658F1">
        <w:rPr>
          <w:lang w:val="en-US"/>
        </w:rPr>
        <w:t>Nucl</w:t>
      </w:r>
      <w:proofErr w:type="spellEnd"/>
      <w:r w:rsidR="005658F1">
        <w:rPr>
          <w:lang w:val="en-US"/>
        </w:rPr>
        <w:t xml:space="preserve">. </w:t>
      </w:r>
      <w:proofErr w:type="spellStart"/>
      <w:r w:rsidR="005658F1">
        <w:rPr>
          <w:lang w:val="en-US"/>
        </w:rPr>
        <w:t>Instrum</w:t>
      </w:r>
      <w:proofErr w:type="spellEnd"/>
      <w:r w:rsidR="005658F1">
        <w:rPr>
          <w:lang w:val="en-US"/>
        </w:rPr>
        <w:t xml:space="preserve">. Methods Phys. Res. A </w:t>
      </w:r>
      <w:r w:rsidR="005658F1">
        <w:rPr>
          <w:b/>
          <w:lang w:val="en-US"/>
        </w:rPr>
        <w:t>440</w:t>
      </w:r>
      <w:r w:rsidR="005658F1">
        <w:rPr>
          <w:lang w:val="en-US"/>
        </w:rPr>
        <w:t>, 772 (2000)</w:t>
      </w:r>
      <w:r w:rsidR="009268CB">
        <w:rPr>
          <w:lang w:val="en-US"/>
        </w:rPr>
        <w:t xml:space="preserve">. </w:t>
      </w:r>
    </w:p>
    <w:p w14:paraId="3DE5C52C" w14:textId="3282EEA5" w:rsidR="00D1599A" w:rsidRPr="00537043" w:rsidRDefault="00722413" w:rsidP="00537043">
      <w:pPr>
        <w:pStyle w:val="ReferencesBody"/>
      </w:pPr>
      <w:r>
        <w:t xml:space="preserve">P. Courtois, </w:t>
      </w:r>
      <w:proofErr w:type="spellStart"/>
      <w:r>
        <w:t>Physica</w:t>
      </w:r>
      <w:proofErr w:type="spellEnd"/>
      <w:r>
        <w:t xml:space="preserve"> B </w:t>
      </w:r>
      <w:r>
        <w:rPr>
          <w:b/>
        </w:rPr>
        <w:t>267-268</w:t>
      </w:r>
      <w:r>
        <w:t>, 363 (1999)</w:t>
      </w:r>
    </w:p>
    <w:p w14:paraId="23BC59C7" w14:textId="12E824BB" w:rsidR="00D1599A" w:rsidRPr="00FE7B63" w:rsidRDefault="00D1599A" w:rsidP="00722413">
      <w:pPr>
        <w:pStyle w:val="ReferencesBody"/>
        <w:rPr>
          <w:lang w:val="en-US"/>
        </w:rPr>
      </w:pPr>
      <w:r w:rsidRPr="009E637A">
        <w:rPr>
          <w:lang w:val="sv-SE"/>
        </w:rPr>
        <w:t xml:space="preserve">K. H. Andersen, D. N. </w:t>
      </w:r>
      <w:proofErr w:type="spellStart"/>
      <w:r w:rsidRPr="009E637A">
        <w:rPr>
          <w:lang w:val="sv-SE"/>
        </w:rPr>
        <w:t>Argyriou</w:t>
      </w:r>
      <w:proofErr w:type="spellEnd"/>
      <w:r w:rsidRPr="009E637A">
        <w:rPr>
          <w:lang w:val="sv-SE"/>
        </w:rPr>
        <w:t xml:space="preserve"> </w:t>
      </w:r>
      <w:r w:rsidRPr="009E637A">
        <w:rPr>
          <w:i/>
          <w:lang w:val="sv-SE"/>
        </w:rPr>
        <w:t>et al.,</w:t>
      </w:r>
      <w:r w:rsidR="00FE7B63" w:rsidRPr="009E637A">
        <w:rPr>
          <w:lang w:val="sv-SE"/>
        </w:rPr>
        <w:t xml:space="preserve"> </w:t>
      </w:r>
      <w:proofErr w:type="spellStart"/>
      <w:r w:rsidR="00FE7B63" w:rsidRPr="009E637A">
        <w:rPr>
          <w:lang w:val="sv-SE"/>
        </w:rPr>
        <w:t>Nucl</w:t>
      </w:r>
      <w:proofErr w:type="spellEnd"/>
      <w:r w:rsidR="00FE7B63" w:rsidRPr="009E637A">
        <w:rPr>
          <w:lang w:val="sv-SE"/>
        </w:rPr>
        <w:t xml:space="preserve">. </w:t>
      </w:r>
      <w:proofErr w:type="spellStart"/>
      <w:r w:rsidR="00FE7B63" w:rsidRPr="009E637A">
        <w:rPr>
          <w:lang w:val="sv-SE"/>
        </w:rPr>
        <w:t>Instrum</w:t>
      </w:r>
      <w:proofErr w:type="spellEnd"/>
      <w:r w:rsidR="00FE7B63" w:rsidRPr="009E637A">
        <w:rPr>
          <w:lang w:val="sv-SE"/>
        </w:rPr>
        <w:t xml:space="preserve">. </w:t>
      </w:r>
      <w:r w:rsidR="00FE7B63">
        <w:rPr>
          <w:lang w:val="en-US"/>
        </w:rPr>
        <w:t>Methods Phys. Res.</w:t>
      </w:r>
      <w:r w:rsidRPr="00FE7B63">
        <w:rPr>
          <w:lang w:val="en-US"/>
        </w:rPr>
        <w:t xml:space="preserve"> A, </w:t>
      </w:r>
      <w:r w:rsidRPr="00FE7B63">
        <w:rPr>
          <w:b/>
          <w:lang w:val="en-US"/>
        </w:rPr>
        <w:t>957</w:t>
      </w:r>
      <w:r w:rsidRPr="00FE7B63">
        <w:rPr>
          <w:lang w:val="en-US"/>
        </w:rPr>
        <w:t>, 163402 (2020)</w:t>
      </w:r>
    </w:p>
    <w:p w14:paraId="1EB3E302" w14:textId="23547F7C" w:rsidR="008567CC" w:rsidRPr="004E439E" w:rsidRDefault="004E439E" w:rsidP="00722413">
      <w:pPr>
        <w:pStyle w:val="ReferencesBody"/>
        <w:rPr>
          <w:lang w:val="fr-FR"/>
        </w:rPr>
      </w:pPr>
      <w:r w:rsidRPr="009E637A">
        <w:rPr>
          <w:lang w:val="sv-SE"/>
        </w:rPr>
        <w:t xml:space="preserve">N. Tsapatsaris, R. E. </w:t>
      </w:r>
      <w:proofErr w:type="spellStart"/>
      <w:r w:rsidRPr="009E637A">
        <w:rPr>
          <w:lang w:val="sv-SE"/>
        </w:rPr>
        <w:t>Lechner</w:t>
      </w:r>
      <w:proofErr w:type="spellEnd"/>
      <w:r w:rsidRPr="009E637A">
        <w:rPr>
          <w:lang w:val="sv-SE"/>
        </w:rPr>
        <w:t xml:space="preserve">, M. </w:t>
      </w:r>
      <w:proofErr w:type="spellStart"/>
      <w:r w:rsidRPr="009E637A">
        <w:rPr>
          <w:lang w:val="sv-SE"/>
        </w:rPr>
        <w:t>Markó</w:t>
      </w:r>
      <w:proofErr w:type="spellEnd"/>
      <w:r w:rsidRPr="009E637A">
        <w:rPr>
          <w:lang w:val="sv-SE"/>
        </w:rPr>
        <w:t xml:space="preserve">, H. N. Bordallo, </w:t>
      </w:r>
      <w:r w:rsidRPr="000A26A3">
        <w:rPr>
          <w:lang w:val="sv-SE"/>
        </w:rPr>
        <w:t xml:space="preserve">Rev. </w:t>
      </w:r>
      <w:proofErr w:type="spellStart"/>
      <w:r w:rsidRPr="000A26A3">
        <w:rPr>
          <w:lang w:val="sv-SE"/>
        </w:rPr>
        <w:t>Sci</w:t>
      </w:r>
      <w:proofErr w:type="spellEnd"/>
      <w:r w:rsidRPr="000A26A3">
        <w:rPr>
          <w:lang w:val="sv-SE"/>
        </w:rPr>
        <w:t xml:space="preserve">. </w:t>
      </w:r>
      <w:proofErr w:type="spellStart"/>
      <w:r w:rsidRPr="000A26A3">
        <w:rPr>
          <w:lang w:val="sv-SE"/>
        </w:rPr>
        <w:t>Instrum</w:t>
      </w:r>
      <w:proofErr w:type="spellEnd"/>
      <w:r w:rsidRPr="000A26A3">
        <w:rPr>
          <w:lang w:val="sv-SE"/>
        </w:rPr>
        <w:t xml:space="preserve">. </w:t>
      </w:r>
      <w:r w:rsidRPr="005658F1">
        <w:rPr>
          <w:b/>
          <w:lang w:val="fr-FR"/>
        </w:rPr>
        <w:t>87</w:t>
      </w:r>
      <w:r w:rsidRPr="004E439E">
        <w:rPr>
          <w:lang w:val="fr-FR"/>
        </w:rPr>
        <w:t>, 085118 (2016)</w:t>
      </w:r>
    </w:p>
    <w:p w14:paraId="7398D925" w14:textId="41FBE637" w:rsidR="008567CC" w:rsidRDefault="008567CC" w:rsidP="00722413">
      <w:pPr>
        <w:pStyle w:val="ReferencesBody"/>
        <w:rPr>
          <w:lang w:val="en-US"/>
        </w:rPr>
      </w:pPr>
      <w:r w:rsidRPr="004E439E">
        <w:rPr>
          <w:lang w:val="fr-FR"/>
        </w:rPr>
        <w:t xml:space="preserve">M. </w:t>
      </w:r>
      <w:proofErr w:type="spellStart"/>
      <w:r w:rsidRPr="004E439E">
        <w:rPr>
          <w:lang w:val="fr-FR"/>
        </w:rPr>
        <w:t>Klausz</w:t>
      </w:r>
      <w:proofErr w:type="spellEnd"/>
      <w:r w:rsidRPr="004E439E">
        <w:rPr>
          <w:lang w:val="fr-FR"/>
        </w:rPr>
        <w:t xml:space="preserve">, K. </w:t>
      </w:r>
      <w:proofErr w:type="spellStart"/>
      <w:r w:rsidRPr="004E439E">
        <w:rPr>
          <w:lang w:val="fr-FR"/>
        </w:rPr>
        <w:t>Kanaki</w:t>
      </w:r>
      <w:proofErr w:type="spellEnd"/>
      <w:r w:rsidRPr="004E439E">
        <w:rPr>
          <w:lang w:val="fr-FR"/>
        </w:rPr>
        <w:t xml:space="preserve">, T. </w:t>
      </w:r>
      <w:proofErr w:type="spellStart"/>
      <w:r w:rsidRPr="004E439E">
        <w:rPr>
          <w:lang w:val="fr-FR"/>
        </w:rPr>
        <w:t>Kittelmann</w:t>
      </w:r>
      <w:proofErr w:type="spellEnd"/>
      <w:r w:rsidRPr="004E439E">
        <w:rPr>
          <w:lang w:val="fr-FR"/>
        </w:rPr>
        <w:t xml:space="preserve">, R. Toft-Petersen, J. O. </w:t>
      </w:r>
      <w:proofErr w:type="spellStart"/>
      <w:r w:rsidRPr="004E439E">
        <w:rPr>
          <w:lang w:val="fr-FR"/>
        </w:rPr>
        <w:t>Birk</w:t>
      </w:r>
      <w:proofErr w:type="spellEnd"/>
      <w:r w:rsidRPr="004E439E">
        <w:rPr>
          <w:lang w:val="fr-FR"/>
        </w:rPr>
        <w:t xml:space="preserve">, M. A. Olsen, P. </w:t>
      </w:r>
      <w:proofErr w:type="spellStart"/>
      <w:r w:rsidRPr="004E439E">
        <w:rPr>
          <w:lang w:val="fr-FR"/>
        </w:rPr>
        <w:t>Zagyvai</w:t>
      </w:r>
      <w:proofErr w:type="spellEnd"/>
      <w:r w:rsidRPr="004E439E">
        <w:rPr>
          <w:lang w:val="fr-FR"/>
        </w:rPr>
        <w:t>, R. J. Hall-</w:t>
      </w:r>
      <w:proofErr w:type="spellStart"/>
      <w:r w:rsidRPr="004E439E">
        <w:rPr>
          <w:lang w:val="fr-FR"/>
        </w:rPr>
        <w:t>Willton</w:t>
      </w:r>
      <w:proofErr w:type="spellEnd"/>
      <w:r w:rsidRPr="004E439E">
        <w:rPr>
          <w:lang w:val="fr-FR"/>
        </w:rPr>
        <w:t xml:space="preserve">, J. </w:t>
      </w:r>
      <w:proofErr w:type="spellStart"/>
      <w:r w:rsidRPr="004E439E">
        <w:rPr>
          <w:lang w:val="fr-FR"/>
        </w:rPr>
        <w:t>Appl</w:t>
      </w:r>
      <w:proofErr w:type="spellEnd"/>
      <w:r w:rsidRPr="004E439E">
        <w:rPr>
          <w:lang w:val="fr-FR"/>
        </w:rPr>
        <w:t xml:space="preserve">. </w:t>
      </w:r>
      <w:proofErr w:type="spellStart"/>
      <w:r w:rsidRPr="004E439E">
        <w:rPr>
          <w:lang w:val="fr-FR"/>
        </w:rPr>
        <w:t>Cryst</w:t>
      </w:r>
      <w:proofErr w:type="spellEnd"/>
      <w:r w:rsidRPr="004E439E">
        <w:rPr>
          <w:lang w:val="fr-FR"/>
        </w:rPr>
        <w:t>.</w:t>
      </w:r>
      <w:r>
        <w:rPr>
          <w:lang w:val="en-US"/>
        </w:rPr>
        <w:t xml:space="preserve">, </w:t>
      </w:r>
      <w:r>
        <w:rPr>
          <w:b/>
          <w:lang w:val="en-US"/>
        </w:rPr>
        <w:t>54</w:t>
      </w:r>
      <w:r>
        <w:rPr>
          <w:lang w:val="en-US"/>
        </w:rPr>
        <w:t>, 263 (2021)</w:t>
      </w:r>
    </w:p>
    <w:p w14:paraId="77BB9961" w14:textId="7B1969EF" w:rsidR="008567CC" w:rsidRDefault="004E439E" w:rsidP="00722413">
      <w:pPr>
        <w:pStyle w:val="ReferencesBody"/>
        <w:rPr>
          <w:lang w:val="en-US"/>
        </w:rPr>
      </w:pPr>
      <w:r>
        <w:rPr>
          <w:lang w:val="en-US"/>
        </w:rPr>
        <w:t xml:space="preserve">M. </w:t>
      </w:r>
      <w:proofErr w:type="spellStart"/>
      <w:r>
        <w:rPr>
          <w:lang w:val="en-US"/>
        </w:rPr>
        <w:t>Strobl</w:t>
      </w:r>
      <w:proofErr w:type="spellEnd"/>
      <w:r>
        <w:rPr>
          <w:lang w:val="en-US"/>
        </w:rPr>
        <w:t xml:space="preserve">, Phys. Procedia, </w:t>
      </w:r>
      <w:r>
        <w:rPr>
          <w:b/>
          <w:lang w:val="en-US"/>
        </w:rPr>
        <w:t>69</w:t>
      </w:r>
      <w:r>
        <w:rPr>
          <w:lang w:val="en-US"/>
        </w:rPr>
        <w:t>, 18 (2015)</w:t>
      </w:r>
    </w:p>
    <w:p w14:paraId="1901E5C5" w14:textId="25F738CE" w:rsidR="00B02FB2" w:rsidRDefault="00B02FB2" w:rsidP="00722413">
      <w:pPr>
        <w:pStyle w:val="ReferencesBody"/>
        <w:rPr>
          <w:lang w:val="es-ES"/>
        </w:rPr>
      </w:pPr>
      <w:r w:rsidRPr="00B02FB2">
        <w:rPr>
          <w:lang w:val="es-ES"/>
        </w:rPr>
        <w:t xml:space="preserve">F. J. Villacorta, D. Martin Rodriguez, </w:t>
      </w:r>
      <w:r>
        <w:rPr>
          <w:lang w:val="es-ES"/>
        </w:rPr>
        <w:t xml:space="preserve">M. Bertelsen, H. N. Bordallo, Quantum </w:t>
      </w:r>
      <w:proofErr w:type="spellStart"/>
      <w:r>
        <w:rPr>
          <w:lang w:val="es-ES"/>
        </w:rPr>
        <w:t>Beam</w:t>
      </w:r>
      <w:proofErr w:type="spellEnd"/>
      <w:r>
        <w:rPr>
          <w:lang w:val="es-ES"/>
        </w:rPr>
        <w:t xml:space="preserve"> </w:t>
      </w:r>
      <w:proofErr w:type="spellStart"/>
      <w:r>
        <w:rPr>
          <w:lang w:val="es-ES"/>
        </w:rPr>
        <w:t>Sci</w:t>
      </w:r>
      <w:proofErr w:type="spellEnd"/>
      <w:r>
        <w:rPr>
          <w:lang w:val="es-ES"/>
        </w:rPr>
        <w:t xml:space="preserve">., </w:t>
      </w:r>
      <w:r>
        <w:rPr>
          <w:b/>
          <w:lang w:val="es-ES"/>
        </w:rPr>
        <w:t>6</w:t>
      </w:r>
      <w:r w:rsidR="00F24923">
        <w:rPr>
          <w:lang w:val="es-ES"/>
        </w:rPr>
        <w:t>, 3 (2022)</w:t>
      </w:r>
    </w:p>
    <w:p w14:paraId="3D7B8467" w14:textId="36C5744B" w:rsidR="00EA0688" w:rsidRDefault="00EA0688" w:rsidP="00722413">
      <w:pPr>
        <w:pStyle w:val="ReferencesBody"/>
        <w:rPr>
          <w:lang w:val="es-ES"/>
        </w:rPr>
      </w:pPr>
      <w:r w:rsidRPr="00EA0688">
        <w:rPr>
          <w:lang w:val="es-ES"/>
        </w:rPr>
        <w:t xml:space="preserve">K. </w:t>
      </w:r>
      <w:proofErr w:type="spellStart"/>
      <w:r w:rsidRPr="00EA0688">
        <w:rPr>
          <w:lang w:val="es-ES"/>
        </w:rPr>
        <w:t>Nemkovski</w:t>
      </w:r>
      <w:proofErr w:type="spellEnd"/>
      <w:r w:rsidRPr="00EA0688">
        <w:rPr>
          <w:lang w:val="es-ES"/>
        </w:rPr>
        <w:t xml:space="preserve">, R. </w:t>
      </w:r>
      <w:proofErr w:type="spellStart"/>
      <w:r w:rsidRPr="00EA0688">
        <w:rPr>
          <w:lang w:val="es-ES"/>
        </w:rPr>
        <w:t>Bewley</w:t>
      </w:r>
      <w:proofErr w:type="spellEnd"/>
      <w:r w:rsidRPr="00EA0688">
        <w:rPr>
          <w:lang w:val="es-ES"/>
        </w:rPr>
        <w:t xml:space="preserve">, V. </w:t>
      </w:r>
      <w:proofErr w:type="spellStart"/>
      <w:r w:rsidRPr="00EA0688">
        <w:rPr>
          <w:lang w:val="es-ES"/>
        </w:rPr>
        <w:t>Garcia</w:t>
      </w:r>
      <w:proofErr w:type="spellEnd"/>
      <w:r w:rsidRPr="00EA0688">
        <w:rPr>
          <w:lang w:val="es-ES"/>
        </w:rPr>
        <w:t xml:space="preserve"> </w:t>
      </w:r>
      <w:proofErr w:type="spellStart"/>
      <w:r w:rsidRPr="00EA0688">
        <w:rPr>
          <w:lang w:val="es-ES"/>
        </w:rPr>
        <w:t>Sakai</w:t>
      </w:r>
      <w:proofErr w:type="spellEnd"/>
      <w:r w:rsidRPr="00EA0688">
        <w:rPr>
          <w:lang w:val="es-ES"/>
        </w:rPr>
        <w:t xml:space="preserve">, G. J. </w:t>
      </w:r>
      <w:proofErr w:type="spellStart"/>
      <w:r w:rsidRPr="00EA0688">
        <w:rPr>
          <w:lang w:val="es-ES"/>
        </w:rPr>
        <w:t>Nilsen</w:t>
      </w:r>
      <w:proofErr w:type="spellEnd"/>
      <w:r w:rsidRPr="00EA0688">
        <w:rPr>
          <w:lang w:val="es-ES"/>
        </w:rPr>
        <w:t xml:space="preserve">, A. </w:t>
      </w:r>
      <w:proofErr w:type="spellStart"/>
      <w:r w:rsidRPr="00EA0688">
        <w:rPr>
          <w:lang w:val="es-ES"/>
        </w:rPr>
        <w:t>Perrinchon</w:t>
      </w:r>
      <w:proofErr w:type="spellEnd"/>
      <w:r w:rsidRPr="00EA0688">
        <w:rPr>
          <w:lang w:val="es-ES"/>
        </w:rPr>
        <w:t xml:space="preserve">, I. </w:t>
      </w:r>
      <w:proofErr w:type="spellStart"/>
      <w:r w:rsidRPr="00EA0688">
        <w:rPr>
          <w:lang w:val="es-ES"/>
        </w:rPr>
        <w:t>Silverwood</w:t>
      </w:r>
      <w:proofErr w:type="spellEnd"/>
      <w:r w:rsidRPr="00EA0688">
        <w:rPr>
          <w:lang w:val="es-ES"/>
        </w:rPr>
        <w:t xml:space="preserve">, </w:t>
      </w:r>
      <w:r>
        <w:rPr>
          <w:lang w:val="es-ES"/>
        </w:rPr>
        <w:t xml:space="preserve">EPJ Web Conf. </w:t>
      </w:r>
      <w:r>
        <w:rPr>
          <w:b/>
          <w:lang w:val="es-ES"/>
        </w:rPr>
        <w:t>272</w:t>
      </w:r>
      <w:r>
        <w:rPr>
          <w:lang w:val="es-ES"/>
        </w:rPr>
        <w:t>, 02004 (2022)</w:t>
      </w:r>
    </w:p>
    <w:p w14:paraId="500B4221" w14:textId="6488B9D4" w:rsidR="00FE7B63" w:rsidRDefault="00FE7B63" w:rsidP="00722413">
      <w:pPr>
        <w:pStyle w:val="ReferencesBody"/>
        <w:rPr>
          <w:lang w:val="en-US"/>
        </w:rPr>
      </w:pPr>
      <w:r w:rsidRPr="00FE7B63">
        <w:rPr>
          <w:lang w:val="en-US"/>
        </w:rPr>
        <w:lastRenderedPageBreak/>
        <w:t xml:space="preserve">P. </w:t>
      </w:r>
      <w:proofErr w:type="spellStart"/>
      <w:r w:rsidRPr="00FE7B63">
        <w:rPr>
          <w:lang w:val="en-US"/>
        </w:rPr>
        <w:t>Böni</w:t>
      </w:r>
      <w:proofErr w:type="spellEnd"/>
      <w:r w:rsidRPr="00FE7B63">
        <w:rPr>
          <w:lang w:val="en-US"/>
        </w:rPr>
        <w:t xml:space="preserve">, C. </w:t>
      </w:r>
      <w:proofErr w:type="spellStart"/>
      <w:r w:rsidRPr="00FE7B63">
        <w:rPr>
          <w:lang w:val="en-US"/>
        </w:rPr>
        <w:t>Schanzer</w:t>
      </w:r>
      <w:proofErr w:type="spellEnd"/>
      <w:r w:rsidRPr="00FE7B63">
        <w:rPr>
          <w:lang w:val="en-US"/>
        </w:rPr>
        <w:t>, M. S</w:t>
      </w:r>
      <w:r>
        <w:rPr>
          <w:lang w:val="en-US"/>
        </w:rPr>
        <w:t xml:space="preserve">chneider, </w:t>
      </w:r>
      <w:proofErr w:type="spellStart"/>
      <w:r>
        <w:rPr>
          <w:lang w:val="en-US"/>
        </w:rPr>
        <w:t>Nucl</w:t>
      </w:r>
      <w:proofErr w:type="spellEnd"/>
      <w:r>
        <w:rPr>
          <w:lang w:val="en-US"/>
        </w:rPr>
        <w:t xml:space="preserve">. </w:t>
      </w:r>
      <w:proofErr w:type="spellStart"/>
      <w:r>
        <w:rPr>
          <w:lang w:val="en-US"/>
        </w:rPr>
        <w:t>Instrum</w:t>
      </w:r>
      <w:proofErr w:type="spellEnd"/>
      <w:r>
        <w:rPr>
          <w:lang w:val="en-US"/>
        </w:rPr>
        <w:t xml:space="preserve">. Methods. Phys. Res. A </w:t>
      </w:r>
      <w:r>
        <w:rPr>
          <w:b/>
          <w:lang w:val="en-US"/>
        </w:rPr>
        <w:t>966</w:t>
      </w:r>
      <w:r>
        <w:rPr>
          <w:lang w:val="en-US"/>
        </w:rPr>
        <w:t xml:space="preserve">, 163858 (2020) </w:t>
      </w:r>
    </w:p>
    <w:p w14:paraId="6C4DF904" w14:textId="585458BB" w:rsidR="00FE7B63" w:rsidRDefault="00FE7B63" w:rsidP="00722413">
      <w:pPr>
        <w:pStyle w:val="ReferencesBody"/>
        <w:rPr>
          <w:lang w:val="sv-SE"/>
        </w:rPr>
      </w:pPr>
      <w:r w:rsidRPr="00FE7B63">
        <w:rPr>
          <w:lang w:val="sv-SE"/>
        </w:rPr>
        <w:t xml:space="preserve">M. Dawson, I. Manke, N. </w:t>
      </w:r>
      <w:proofErr w:type="spellStart"/>
      <w:r>
        <w:rPr>
          <w:lang w:val="sv-SE"/>
        </w:rPr>
        <w:t>Kardjilov</w:t>
      </w:r>
      <w:proofErr w:type="spellEnd"/>
      <w:r>
        <w:rPr>
          <w:lang w:val="sv-SE"/>
        </w:rPr>
        <w:t xml:space="preserve">, A. </w:t>
      </w:r>
      <w:proofErr w:type="spellStart"/>
      <w:r>
        <w:rPr>
          <w:lang w:val="sv-SE"/>
        </w:rPr>
        <w:t>Hilger</w:t>
      </w:r>
      <w:proofErr w:type="spellEnd"/>
      <w:r>
        <w:rPr>
          <w:lang w:val="sv-SE"/>
        </w:rPr>
        <w:t xml:space="preserve">, M. </w:t>
      </w:r>
      <w:proofErr w:type="spellStart"/>
      <w:r>
        <w:rPr>
          <w:lang w:val="sv-SE"/>
        </w:rPr>
        <w:t>Strobl</w:t>
      </w:r>
      <w:proofErr w:type="spellEnd"/>
      <w:r>
        <w:rPr>
          <w:lang w:val="sv-SE"/>
        </w:rPr>
        <w:t xml:space="preserve">, J. </w:t>
      </w:r>
      <w:proofErr w:type="spellStart"/>
      <w:r>
        <w:rPr>
          <w:lang w:val="sv-SE"/>
        </w:rPr>
        <w:t>Barnhart</w:t>
      </w:r>
      <w:proofErr w:type="spellEnd"/>
      <w:r>
        <w:rPr>
          <w:lang w:val="sv-SE"/>
        </w:rPr>
        <w:t xml:space="preserve">, New J. </w:t>
      </w:r>
      <w:proofErr w:type="spellStart"/>
      <w:r>
        <w:rPr>
          <w:lang w:val="sv-SE"/>
        </w:rPr>
        <w:t>Phys</w:t>
      </w:r>
      <w:proofErr w:type="spellEnd"/>
      <w:r>
        <w:rPr>
          <w:lang w:val="sv-SE"/>
        </w:rPr>
        <w:t xml:space="preserve">. </w:t>
      </w:r>
      <w:r>
        <w:rPr>
          <w:b/>
          <w:lang w:val="sv-SE"/>
        </w:rPr>
        <w:t>11</w:t>
      </w:r>
      <w:r>
        <w:rPr>
          <w:lang w:val="sv-SE"/>
        </w:rPr>
        <w:t>, 043013 (2009)</w:t>
      </w:r>
    </w:p>
    <w:p w14:paraId="3CF2EF00" w14:textId="77777777" w:rsidR="00923596" w:rsidRDefault="00923596" w:rsidP="00923596">
      <w:pPr>
        <w:pStyle w:val="ReferencesBody"/>
      </w:pPr>
      <w:r w:rsidRPr="002478B3">
        <w:t xml:space="preserve">P. Willendrup, and K. </w:t>
      </w:r>
      <w:proofErr w:type="spellStart"/>
      <w:r w:rsidRPr="002478B3">
        <w:t>Lefmann</w:t>
      </w:r>
      <w:proofErr w:type="spellEnd"/>
      <w:r w:rsidRPr="002478B3">
        <w:t>, J. Neutron Res. 22, 1-16 (2020).</w:t>
      </w:r>
    </w:p>
    <w:p w14:paraId="4EC7A5A5" w14:textId="53B42DC8" w:rsidR="00923596" w:rsidRDefault="00923596" w:rsidP="00923596">
      <w:pPr>
        <w:pStyle w:val="ReferencesBody"/>
      </w:pPr>
      <w:r w:rsidRPr="002478B3">
        <w:t xml:space="preserve">P. Willendrup, and K. </w:t>
      </w:r>
      <w:proofErr w:type="spellStart"/>
      <w:r w:rsidRPr="002478B3">
        <w:t>Lefmann</w:t>
      </w:r>
      <w:proofErr w:type="spellEnd"/>
      <w:r w:rsidRPr="002478B3">
        <w:t>, J. Neutron Res. 23, 7-27 (2021).</w:t>
      </w:r>
    </w:p>
    <w:p w14:paraId="424D299F" w14:textId="0D391CC8" w:rsidR="007F0AC8" w:rsidRPr="00815496" w:rsidRDefault="007F0AC8" w:rsidP="00923596">
      <w:pPr>
        <w:pStyle w:val="ReferencesBody"/>
        <w:rPr>
          <w:lang w:val="en-US"/>
        </w:rPr>
      </w:pPr>
      <w:r w:rsidRPr="00815496">
        <w:rPr>
          <w:lang w:val="en-US"/>
        </w:rPr>
        <w:t xml:space="preserve">W.- T. Lee, J. Hagman </w:t>
      </w:r>
      <w:r w:rsidRPr="00815496">
        <w:rPr>
          <w:i/>
          <w:lang w:val="en-US"/>
        </w:rPr>
        <w:t>et al.. This issue.</w:t>
      </w:r>
    </w:p>
    <w:p w14:paraId="3CE595D0" w14:textId="77777777" w:rsidR="00754CE5" w:rsidRPr="00537043" w:rsidRDefault="00754CE5" w:rsidP="00754CE5">
      <w:pPr>
        <w:pStyle w:val="ReferencesBody"/>
        <w:rPr>
          <w:lang w:val="en-US"/>
        </w:rPr>
      </w:pPr>
      <w:r w:rsidRPr="00537043">
        <w:rPr>
          <w:lang w:val="en-US"/>
        </w:rPr>
        <w:t xml:space="preserve">T. </w:t>
      </w:r>
      <w:proofErr w:type="spellStart"/>
      <w:r w:rsidRPr="00537043">
        <w:rPr>
          <w:lang w:val="en-US"/>
        </w:rPr>
        <w:t>Krist</w:t>
      </w:r>
      <w:proofErr w:type="spellEnd"/>
      <w:r w:rsidRPr="00537043">
        <w:rPr>
          <w:lang w:val="en-US"/>
        </w:rPr>
        <w:t xml:space="preserve">, C. </w:t>
      </w:r>
      <w:proofErr w:type="spellStart"/>
      <w:r w:rsidRPr="00537043">
        <w:rPr>
          <w:lang w:val="en-US"/>
        </w:rPr>
        <w:t>Lartigue</w:t>
      </w:r>
      <w:proofErr w:type="spellEnd"/>
      <w:r w:rsidRPr="00537043">
        <w:rPr>
          <w:lang w:val="en-US"/>
        </w:rPr>
        <w:t xml:space="preserve">, F. </w:t>
      </w:r>
      <w:proofErr w:type="spellStart"/>
      <w:r w:rsidRPr="00537043">
        <w:rPr>
          <w:lang w:val="en-US"/>
        </w:rPr>
        <w:t>Mezei</w:t>
      </w:r>
      <w:proofErr w:type="spellEnd"/>
      <w:r w:rsidRPr="00537043">
        <w:rPr>
          <w:lang w:val="en-US"/>
        </w:rPr>
        <w:t xml:space="preserve">, </w:t>
      </w:r>
      <w:proofErr w:type="spellStart"/>
      <w:r w:rsidRPr="00537043">
        <w:rPr>
          <w:lang w:val="en-US"/>
        </w:rPr>
        <w:t>Physica</w:t>
      </w:r>
      <w:proofErr w:type="spellEnd"/>
      <w:r w:rsidRPr="00537043">
        <w:rPr>
          <w:lang w:val="en-US"/>
        </w:rPr>
        <w:t xml:space="preserve"> </w:t>
      </w:r>
      <w:r>
        <w:rPr>
          <w:lang w:val="en-US"/>
        </w:rPr>
        <w:t xml:space="preserve">B </w:t>
      </w:r>
      <w:r>
        <w:rPr>
          <w:b/>
          <w:lang w:val="en-US"/>
        </w:rPr>
        <w:t>180-181</w:t>
      </w:r>
      <w:r>
        <w:rPr>
          <w:lang w:val="en-US"/>
        </w:rPr>
        <w:t xml:space="preserve"> 1005 (1992)</w:t>
      </w:r>
    </w:p>
    <w:p w14:paraId="6311CCAB" w14:textId="6AFE2196" w:rsidR="00754CE5" w:rsidRDefault="00754CE5" w:rsidP="00836772">
      <w:pPr>
        <w:pStyle w:val="ReferencesBody"/>
        <w:rPr>
          <w:lang w:val="en-US"/>
        </w:rPr>
      </w:pPr>
      <w:r w:rsidRPr="00754CE5">
        <w:rPr>
          <w:lang w:val="en-US"/>
        </w:rPr>
        <w:t xml:space="preserve">R. </w:t>
      </w:r>
      <w:r>
        <w:rPr>
          <w:lang w:val="en-US"/>
        </w:rPr>
        <w:t xml:space="preserve">R. </w:t>
      </w:r>
      <w:proofErr w:type="spellStart"/>
      <w:r>
        <w:rPr>
          <w:lang w:val="en-US"/>
        </w:rPr>
        <w:t>Gainov</w:t>
      </w:r>
      <w:proofErr w:type="spellEnd"/>
      <w:r>
        <w:rPr>
          <w:lang w:val="en-US"/>
        </w:rPr>
        <w:t>, F.</w:t>
      </w:r>
      <w:r w:rsidR="00972948">
        <w:rPr>
          <w:lang w:val="en-US"/>
        </w:rPr>
        <w:t xml:space="preserve"> </w:t>
      </w:r>
      <w:proofErr w:type="spellStart"/>
      <w:r w:rsidR="00972948">
        <w:rPr>
          <w:lang w:val="en-US"/>
        </w:rPr>
        <w:t>Mezei</w:t>
      </w:r>
      <w:proofErr w:type="spellEnd"/>
      <w:r w:rsidR="00972948">
        <w:rPr>
          <w:lang w:val="en-US"/>
        </w:rPr>
        <w:t xml:space="preserve">, J. </w:t>
      </w:r>
      <w:proofErr w:type="spellStart"/>
      <w:r w:rsidR="00972948">
        <w:rPr>
          <w:lang w:val="en-US"/>
        </w:rPr>
        <w:t>Fuzi</w:t>
      </w:r>
      <w:proofErr w:type="spellEnd"/>
      <w:r w:rsidR="00972948">
        <w:rPr>
          <w:lang w:val="en-US"/>
        </w:rPr>
        <w:t xml:space="preserve"> and M. </w:t>
      </w:r>
      <w:proofErr w:type="spellStart"/>
      <w:r w:rsidR="00972948">
        <w:rPr>
          <w:lang w:val="en-US"/>
        </w:rPr>
        <w:t>Russina</w:t>
      </w:r>
      <w:bookmarkStart w:id="0" w:name="_GoBack"/>
      <w:bookmarkEnd w:id="0"/>
      <w:proofErr w:type="spellEnd"/>
      <w:r w:rsidR="008446DE">
        <w:rPr>
          <w:lang w:val="en-US"/>
        </w:rPr>
        <w:t xml:space="preserve">, </w:t>
      </w:r>
      <w:proofErr w:type="spellStart"/>
      <w:r w:rsidR="008446DE">
        <w:rPr>
          <w:lang w:val="en-US"/>
        </w:rPr>
        <w:t>Nucl</w:t>
      </w:r>
      <w:proofErr w:type="spellEnd"/>
      <w:r w:rsidR="008446DE">
        <w:rPr>
          <w:lang w:val="en-US"/>
        </w:rPr>
        <w:t xml:space="preserve">. </w:t>
      </w:r>
      <w:proofErr w:type="spellStart"/>
      <w:r w:rsidR="008446DE">
        <w:rPr>
          <w:lang w:val="en-US"/>
        </w:rPr>
        <w:t>Instrum</w:t>
      </w:r>
      <w:proofErr w:type="spellEnd"/>
      <w:r w:rsidR="008446DE">
        <w:rPr>
          <w:lang w:val="en-US"/>
        </w:rPr>
        <w:t xml:space="preserve">. Methods. Phys. Res. A </w:t>
      </w:r>
      <w:r w:rsidR="008446DE">
        <w:rPr>
          <w:b/>
          <w:lang w:val="en-US"/>
        </w:rPr>
        <w:t>930</w:t>
      </w:r>
      <w:r w:rsidR="008446DE">
        <w:rPr>
          <w:lang w:val="en-US"/>
        </w:rPr>
        <w:t>, 42-48 (2019</w:t>
      </w:r>
      <w:r w:rsidR="00836772">
        <w:rPr>
          <w:lang w:val="en-US"/>
        </w:rPr>
        <w:t>).</w:t>
      </w:r>
    </w:p>
    <w:p w14:paraId="2567BE85" w14:textId="0379208F" w:rsidR="00EA11FD" w:rsidRPr="00EA11FD" w:rsidRDefault="00EA11FD" w:rsidP="00EA11FD">
      <w:pPr>
        <w:pStyle w:val="ReferencesBody"/>
        <w:rPr>
          <w:lang w:val="fr-FR"/>
        </w:rPr>
      </w:pPr>
      <w:r w:rsidRPr="00EA11FD">
        <w:rPr>
          <w:lang w:val="en-US"/>
        </w:rPr>
        <w:t xml:space="preserve">T </w:t>
      </w:r>
      <w:proofErr w:type="spellStart"/>
      <w:r w:rsidRPr="00EA11FD">
        <w:rPr>
          <w:lang w:val="en-US"/>
        </w:rPr>
        <w:t>Bigault</w:t>
      </w:r>
      <w:proofErr w:type="spellEnd"/>
      <w:r w:rsidRPr="00EA11FD">
        <w:rPr>
          <w:lang w:val="en-US"/>
        </w:rPr>
        <w:t xml:space="preserve">, G Delphin, A </w:t>
      </w:r>
      <w:proofErr w:type="spellStart"/>
      <w:r w:rsidRPr="00EA11FD">
        <w:rPr>
          <w:lang w:val="en-US"/>
        </w:rPr>
        <w:t>Vittoz</w:t>
      </w:r>
      <w:proofErr w:type="spellEnd"/>
      <w:r w:rsidRPr="00EA11FD">
        <w:rPr>
          <w:lang w:val="en-US"/>
        </w:rPr>
        <w:t xml:space="preserve">, V </w:t>
      </w:r>
      <w:proofErr w:type="spellStart"/>
      <w:r w:rsidRPr="00EA11FD">
        <w:rPr>
          <w:lang w:val="en-US"/>
        </w:rPr>
        <w:t>Gaignon</w:t>
      </w:r>
      <w:proofErr w:type="spellEnd"/>
      <w:r w:rsidRPr="00EA11FD">
        <w:rPr>
          <w:lang w:val="en-US"/>
        </w:rPr>
        <w:t xml:space="preserve"> and P Courtois., J. Phys. </w:t>
      </w:r>
      <w:proofErr w:type="spellStart"/>
      <w:r w:rsidRPr="00EA11FD">
        <w:rPr>
          <w:lang w:val="fr-FR"/>
        </w:rPr>
        <w:t>Conf</w:t>
      </w:r>
      <w:proofErr w:type="spellEnd"/>
      <w:r w:rsidRPr="00EA11FD">
        <w:rPr>
          <w:lang w:val="fr-FR"/>
        </w:rPr>
        <w:t xml:space="preserve">. </w:t>
      </w:r>
      <w:proofErr w:type="spellStart"/>
      <w:r w:rsidRPr="00EA11FD">
        <w:rPr>
          <w:lang w:val="fr-FR"/>
        </w:rPr>
        <w:t>Ser</w:t>
      </w:r>
      <w:proofErr w:type="spellEnd"/>
      <w:r w:rsidRPr="00EA11FD">
        <w:rPr>
          <w:lang w:val="fr-FR"/>
        </w:rPr>
        <w:t xml:space="preserve">. </w:t>
      </w:r>
      <w:r w:rsidRPr="00EA11FD">
        <w:rPr>
          <w:b/>
          <w:lang w:val="fr-FR"/>
        </w:rPr>
        <w:t>528</w:t>
      </w:r>
      <w:r w:rsidRPr="00EA11FD">
        <w:rPr>
          <w:lang w:val="fr-FR"/>
        </w:rPr>
        <w:t>, 012017 (2014)</w:t>
      </w:r>
    </w:p>
    <w:p w14:paraId="16BF0D12" w14:textId="036B4EFF" w:rsidR="00A96C57" w:rsidRPr="00EA11FD" w:rsidRDefault="00C82E83" w:rsidP="00A96C57">
      <w:pPr>
        <w:pStyle w:val="ReferencesBody"/>
        <w:rPr>
          <w:lang w:val="fr-FR"/>
        </w:rPr>
      </w:pPr>
      <w:hyperlink r:id="rId27" w:history="1">
        <w:r w:rsidR="00475371" w:rsidRPr="00EA11FD">
          <w:rPr>
            <w:rStyle w:val="Hyperlink"/>
            <w:lang w:val="fr-FR"/>
          </w:rPr>
          <w:t>https://www.ncnr.nist.gov/resources/activation/</w:t>
        </w:r>
      </w:hyperlink>
    </w:p>
    <w:p w14:paraId="32D7A90F" w14:textId="45FFCC42" w:rsidR="00475371" w:rsidRDefault="000A26A3" w:rsidP="00475371">
      <w:pPr>
        <w:pStyle w:val="ReferencesBody"/>
      </w:pPr>
      <w:r w:rsidRPr="008E3882">
        <w:rPr>
          <w:lang w:val="en-US"/>
        </w:rPr>
        <w:t>H</w:t>
      </w:r>
      <w:r>
        <w:t>. Rauch</w:t>
      </w:r>
      <w:r w:rsidR="00475371" w:rsidRPr="00475371">
        <w:t xml:space="preserve"> and</w:t>
      </w:r>
      <w:r>
        <w:t xml:space="preserve"> W. </w:t>
      </w:r>
      <w:proofErr w:type="spellStart"/>
      <w:r>
        <w:t>Waschkowski</w:t>
      </w:r>
      <w:proofErr w:type="spellEnd"/>
      <w:r w:rsidR="00475371" w:rsidRPr="00475371">
        <w:t xml:space="preserve"> (2003). Neutron Scattering Lengths in </w:t>
      </w:r>
      <w:r w:rsidR="00475371" w:rsidRPr="00EA11FD">
        <w:rPr>
          <w:i/>
        </w:rPr>
        <w:t>ILL Neutron Data Booklet</w:t>
      </w:r>
      <w:r w:rsidR="00475371" w:rsidRPr="00475371">
        <w:t xml:space="preserve"> (second edition), A.-J. </w:t>
      </w:r>
      <w:proofErr w:type="spellStart"/>
      <w:r w:rsidR="00475371" w:rsidRPr="00475371">
        <w:t>Dianoux</w:t>
      </w:r>
      <w:proofErr w:type="spellEnd"/>
      <w:r w:rsidR="00475371" w:rsidRPr="00475371">
        <w:t xml:space="preserve">, G. Lander, Eds. Old City Publishing, </w:t>
      </w:r>
      <w:proofErr w:type="spellStart"/>
      <w:r w:rsidR="00475371" w:rsidRPr="00475371">
        <w:t>Philidelphia</w:t>
      </w:r>
      <w:proofErr w:type="spellEnd"/>
      <w:r w:rsidR="00475371" w:rsidRPr="00475371">
        <w:t>, PA. pp 1.1-1 to 1.1-17.</w:t>
      </w:r>
    </w:p>
    <w:p w14:paraId="04551856" w14:textId="71209EF1" w:rsidR="00475371" w:rsidRDefault="000A26A3" w:rsidP="00475371">
      <w:pPr>
        <w:pStyle w:val="ReferencesBody"/>
      </w:pPr>
      <w:r>
        <w:t>V. F. Sears</w:t>
      </w:r>
      <w:r w:rsidR="00475371" w:rsidRPr="00475371">
        <w:t xml:space="preserve"> (2006). </w:t>
      </w:r>
      <w:r w:rsidR="00475371" w:rsidRPr="00EA11FD">
        <w:rPr>
          <w:i/>
        </w:rPr>
        <w:t>Scattering lengths for neutrons</w:t>
      </w:r>
      <w:r w:rsidR="00475371" w:rsidRPr="00475371">
        <w:t xml:space="preserve"> In Prince, E. Ed. </w:t>
      </w:r>
      <w:r w:rsidR="00475371" w:rsidRPr="00EA11FD">
        <w:rPr>
          <w:i/>
        </w:rPr>
        <w:t>International Tables for Crystallography Volume C: Mathematical, Physical and Chemical Tables</w:t>
      </w:r>
      <w:r w:rsidR="00475371" w:rsidRPr="00475371">
        <w:t xml:space="preserve"> Kluwer Academic Publishers, pp 444-454.</w:t>
      </w:r>
    </w:p>
    <w:p w14:paraId="0E31313B" w14:textId="6E9AFD3D" w:rsidR="000A26A3" w:rsidRDefault="00DB3A02" w:rsidP="00DB3A02">
      <w:pPr>
        <w:pStyle w:val="ReferencesBody"/>
      </w:pPr>
      <w:r>
        <w:t xml:space="preserve">C. </w:t>
      </w:r>
      <w:proofErr w:type="spellStart"/>
      <w:r>
        <w:t>Klauser</w:t>
      </w:r>
      <w:proofErr w:type="spellEnd"/>
      <w:r w:rsidRPr="00DB3A02">
        <w:t>, T</w:t>
      </w:r>
      <w:r>
        <w:t xml:space="preserve">. </w:t>
      </w:r>
      <w:proofErr w:type="spellStart"/>
      <w:r>
        <w:t>Bigault</w:t>
      </w:r>
      <w:proofErr w:type="spellEnd"/>
      <w:r>
        <w:t xml:space="preserve">, P. </w:t>
      </w:r>
      <w:proofErr w:type="spellStart"/>
      <w:r>
        <w:t>Böni</w:t>
      </w:r>
      <w:proofErr w:type="spellEnd"/>
      <w:r>
        <w:t xml:space="preserve">, P. Courtois, A. </w:t>
      </w:r>
      <w:proofErr w:type="spellStart"/>
      <w:r>
        <w:t>Devishvili</w:t>
      </w:r>
      <w:proofErr w:type="spellEnd"/>
      <w:r>
        <w:t xml:space="preserve">, N. </w:t>
      </w:r>
      <w:proofErr w:type="spellStart"/>
      <w:r>
        <w:t>Rebrova</w:t>
      </w:r>
      <w:proofErr w:type="spellEnd"/>
      <w:r>
        <w:t xml:space="preserve">, M. Schneider and T. </w:t>
      </w:r>
      <w:proofErr w:type="spellStart"/>
      <w:r>
        <w:t>Soldner</w:t>
      </w:r>
      <w:proofErr w:type="spellEnd"/>
      <w:r w:rsidR="000A26A3" w:rsidRPr="00DB3A02">
        <w:t xml:space="preserve">, </w:t>
      </w:r>
      <w:proofErr w:type="spellStart"/>
      <w:r w:rsidR="000A26A3" w:rsidRPr="00DB3A02">
        <w:t>Nucl</w:t>
      </w:r>
      <w:proofErr w:type="spellEnd"/>
      <w:r w:rsidR="000A26A3" w:rsidRPr="00DB3A02">
        <w:t xml:space="preserve">. </w:t>
      </w:r>
      <w:r w:rsidR="000A26A3">
        <w:t xml:space="preserve">Instr. Meth. A </w:t>
      </w:r>
      <w:r w:rsidR="000A26A3" w:rsidRPr="00DB3A02">
        <w:rPr>
          <w:b/>
        </w:rPr>
        <w:t>840</w:t>
      </w:r>
      <w:r w:rsidR="000A26A3">
        <w:t>, 181-185 (2016)</w:t>
      </w:r>
    </w:p>
    <w:p w14:paraId="10869AF7" w14:textId="757E3057" w:rsidR="00281087" w:rsidRDefault="00281087" w:rsidP="00585EDB">
      <w:pPr>
        <w:pStyle w:val="ReferencesBody"/>
      </w:pPr>
      <w:r>
        <w:t>C.</w:t>
      </w:r>
      <w:r w:rsidR="00585EDB">
        <w:t xml:space="preserve"> D.</w:t>
      </w:r>
      <w:r>
        <w:t xml:space="preserve"> Dewhurst</w:t>
      </w:r>
      <w:r w:rsidR="00585EDB">
        <w:t xml:space="preserve">, </w:t>
      </w:r>
      <w:proofErr w:type="spellStart"/>
      <w:r w:rsidR="00585EDB" w:rsidRPr="00585EDB">
        <w:rPr>
          <w:lang w:val="en-US"/>
        </w:rPr>
        <w:t>Nucl</w:t>
      </w:r>
      <w:proofErr w:type="spellEnd"/>
      <w:r w:rsidR="00585EDB" w:rsidRPr="00585EDB">
        <w:rPr>
          <w:lang w:val="en-US"/>
        </w:rPr>
        <w:t xml:space="preserve">. </w:t>
      </w:r>
      <w:r w:rsidR="00585EDB">
        <w:t xml:space="preserve">Instr. Meth. A </w:t>
      </w:r>
      <w:r w:rsidR="00585EDB">
        <w:rPr>
          <w:b/>
        </w:rPr>
        <w:t>683</w:t>
      </w:r>
      <w:r w:rsidR="00585EDB">
        <w:t>, 16-23 (2012)</w:t>
      </w:r>
    </w:p>
    <w:p w14:paraId="66712CF8" w14:textId="264F4AC2" w:rsidR="00115A48" w:rsidRDefault="007337B0" w:rsidP="007337B0">
      <w:pPr>
        <w:pStyle w:val="ReferencesBody"/>
      </w:pPr>
      <w:r w:rsidRPr="007337B0">
        <w:t xml:space="preserve">K. H. Andersen, M. Bertelsen, L. Zanini, E. B. </w:t>
      </w:r>
      <w:proofErr w:type="spellStart"/>
      <w:r w:rsidRPr="007337B0">
        <w:t>Klinkby</w:t>
      </w:r>
      <w:proofErr w:type="spellEnd"/>
      <w:r w:rsidRPr="007337B0">
        <w:t xml:space="preserve">, </w:t>
      </w:r>
      <w:r>
        <w:t xml:space="preserve">T. </w:t>
      </w:r>
      <w:proofErr w:type="spellStart"/>
      <w:r>
        <w:t>Sch</w:t>
      </w:r>
      <w:r w:rsidRPr="007337B0">
        <w:t>ön</w:t>
      </w:r>
      <w:r>
        <w:t>feldt</w:t>
      </w:r>
      <w:proofErr w:type="spellEnd"/>
      <w:r>
        <w:t xml:space="preserve">, P. M. Bentley and J. Saroun, J. Appl. </w:t>
      </w:r>
      <w:proofErr w:type="spellStart"/>
      <w:r>
        <w:t>Cryst</w:t>
      </w:r>
      <w:proofErr w:type="spellEnd"/>
      <w:r>
        <w:t xml:space="preserve">. </w:t>
      </w:r>
      <w:r w:rsidRPr="007337B0">
        <w:rPr>
          <w:b/>
        </w:rPr>
        <w:t>51</w:t>
      </w:r>
      <w:r w:rsidRPr="007337B0">
        <w:t>, 264–281</w:t>
      </w:r>
      <w:r>
        <w:t xml:space="preserve"> (2018)</w:t>
      </w:r>
      <w:r w:rsidR="00264FBA">
        <w:t>.</w:t>
      </w:r>
    </w:p>
    <w:p w14:paraId="4AF3CCAB" w14:textId="7295F83E" w:rsidR="00264FBA" w:rsidRPr="00264FBA" w:rsidRDefault="00264FBA" w:rsidP="00264FBA">
      <w:pPr>
        <w:pStyle w:val="ReferencesBody"/>
        <w:rPr>
          <w:lang w:val="en-US"/>
        </w:rPr>
      </w:pPr>
      <w:r w:rsidRPr="00264FBA">
        <w:rPr>
          <w:lang w:val="en-US"/>
        </w:rPr>
        <w:t xml:space="preserve">J. </w:t>
      </w:r>
      <w:proofErr w:type="spellStart"/>
      <w:r w:rsidRPr="00264FBA">
        <w:rPr>
          <w:lang w:val="en-US"/>
        </w:rPr>
        <w:t>Sta</w:t>
      </w:r>
      <w:r>
        <w:rPr>
          <w:lang w:val="en-US"/>
        </w:rPr>
        <w:t>hn</w:t>
      </w:r>
      <w:proofErr w:type="spellEnd"/>
      <w:r>
        <w:rPr>
          <w:lang w:val="en-US"/>
        </w:rPr>
        <w:t xml:space="preserve"> and A. </w:t>
      </w:r>
      <w:proofErr w:type="spellStart"/>
      <w:r>
        <w:rPr>
          <w:lang w:val="en-US"/>
        </w:rPr>
        <w:t>Glavic</w:t>
      </w:r>
      <w:proofErr w:type="spellEnd"/>
      <w:r>
        <w:rPr>
          <w:lang w:val="en-US"/>
        </w:rPr>
        <w:t xml:space="preserve">, </w:t>
      </w:r>
      <w:r w:rsidRPr="00264FBA">
        <w:rPr>
          <w:lang w:val="en-US"/>
        </w:rPr>
        <w:t xml:space="preserve">J. Phys.: Conf. Ser. </w:t>
      </w:r>
      <w:r w:rsidRPr="00264FBA">
        <w:rPr>
          <w:b/>
          <w:lang w:val="en-US"/>
        </w:rPr>
        <w:t>862</w:t>
      </w:r>
      <w:r w:rsidRPr="00264FBA">
        <w:rPr>
          <w:lang w:val="en-US"/>
        </w:rPr>
        <w:t>, 012007 (2017)</w:t>
      </w:r>
    </w:p>
    <w:sectPr w:rsidR="00264FBA" w:rsidRPr="00264FBA"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6BC8C" w14:textId="77777777" w:rsidR="00C82E83" w:rsidRDefault="00C82E83">
      <w:r>
        <w:separator/>
      </w:r>
    </w:p>
  </w:endnote>
  <w:endnote w:type="continuationSeparator" w:id="0">
    <w:p w14:paraId="7A245898" w14:textId="77777777" w:rsidR="00C82E83" w:rsidRDefault="00C82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D8A2E" w14:textId="77777777" w:rsidR="00C82E83" w:rsidRDefault="00C82E83">
      <w:r>
        <w:separator/>
      </w:r>
    </w:p>
  </w:footnote>
  <w:footnote w:type="continuationSeparator" w:id="0">
    <w:p w14:paraId="249F01F9" w14:textId="77777777" w:rsidR="00C82E83" w:rsidRDefault="00C82E83">
      <w:r>
        <w:continuationSeparator/>
      </w:r>
    </w:p>
  </w:footnote>
  <w:footnote w:id="1">
    <w:p w14:paraId="38427012" w14:textId="10E69D42" w:rsidR="00F05EBE" w:rsidRPr="000A26A3" w:rsidRDefault="00F05EBE" w:rsidP="00F05EBE">
      <w:pPr>
        <w:pStyle w:val="FootnoteText"/>
        <w:rPr>
          <w:rFonts w:ascii="Times New Roman" w:hAnsi="Times New Roman" w:cs="Times New Roman"/>
          <w:lang w:val="en-US"/>
        </w:rPr>
      </w:pPr>
      <w:r w:rsidRPr="00743B2C">
        <w:rPr>
          <w:rStyle w:val="FootnoteCharacters"/>
        </w:rPr>
        <w:footnoteRef/>
      </w:r>
      <w:r w:rsidRPr="000A26A3">
        <w:rPr>
          <w:rStyle w:val="FootnoteCharacters"/>
          <w:lang w:val="en-US"/>
        </w:rPr>
        <w:t xml:space="preserve"> Corresponding author:</w:t>
      </w:r>
      <w:r w:rsidRPr="000A26A3">
        <w:rPr>
          <w:rFonts w:ascii="Times New Roman" w:hAnsi="Times New Roman" w:cs="Times New Roman"/>
          <w:sz w:val="18"/>
          <w:szCs w:val="18"/>
          <w:lang w:val="en-US"/>
        </w:rPr>
        <w:t xml:space="preserve"> </w:t>
      </w:r>
      <w:hyperlink r:id="rId1" w:history="1">
        <w:r w:rsidR="00D4575A" w:rsidRPr="000A26A3">
          <w:rPr>
            <w:rStyle w:val="Hyperlink"/>
            <w:rFonts w:ascii="Times New Roman" w:hAnsi="Times New Roman" w:cs="Times New Roman"/>
            <w:sz w:val="18"/>
            <w:szCs w:val="18"/>
            <w:lang w:val="en-US"/>
          </w:rPr>
          <w:t>damian.rodriguez@ess.eu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5D"/>
    <w:rsid w:val="00003A10"/>
    <w:rsid w:val="00003A7C"/>
    <w:rsid w:val="00003AD7"/>
    <w:rsid w:val="00004BFB"/>
    <w:rsid w:val="00010364"/>
    <w:rsid w:val="0001117F"/>
    <w:rsid w:val="00014341"/>
    <w:rsid w:val="0002055A"/>
    <w:rsid w:val="00036AC2"/>
    <w:rsid w:val="000443B4"/>
    <w:rsid w:val="00044EE5"/>
    <w:rsid w:val="000534C0"/>
    <w:rsid w:val="00053872"/>
    <w:rsid w:val="00056B08"/>
    <w:rsid w:val="0006121B"/>
    <w:rsid w:val="00067FE2"/>
    <w:rsid w:val="000806EB"/>
    <w:rsid w:val="000972D6"/>
    <w:rsid w:val="000A0FAB"/>
    <w:rsid w:val="000A26A3"/>
    <w:rsid w:val="000A3293"/>
    <w:rsid w:val="000B44E8"/>
    <w:rsid w:val="000B5BEF"/>
    <w:rsid w:val="000C148D"/>
    <w:rsid w:val="000C7E58"/>
    <w:rsid w:val="000D088B"/>
    <w:rsid w:val="000D6BE2"/>
    <w:rsid w:val="000E285B"/>
    <w:rsid w:val="000E4989"/>
    <w:rsid w:val="000F0BFA"/>
    <w:rsid w:val="000F4BC6"/>
    <w:rsid w:val="000F69FF"/>
    <w:rsid w:val="001026E6"/>
    <w:rsid w:val="0010518D"/>
    <w:rsid w:val="00105C90"/>
    <w:rsid w:val="0010751C"/>
    <w:rsid w:val="00107CF2"/>
    <w:rsid w:val="001144FC"/>
    <w:rsid w:val="00115A48"/>
    <w:rsid w:val="0012140B"/>
    <w:rsid w:val="00125109"/>
    <w:rsid w:val="00142B55"/>
    <w:rsid w:val="00144AE8"/>
    <w:rsid w:val="00160AA6"/>
    <w:rsid w:val="00160CD9"/>
    <w:rsid w:val="00161411"/>
    <w:rsid w:val="00161B60"/>
    <w:rsid w:val="001629AC"/>
    <w:rsid w:val="00165871"/>
    <w:rsid w:val="00170DB5"/>
    <w:rsid w:val="00180674"/>
    <w:rsid w:val="00180C30"/>
    <w:rsid w:val="001831C7"/>
    <w:rsid w:val="00183ACF"/>
    <w:rsid w:val="00184B49"/>
    <w:rsid w:val="001852FE"/>
    <w:rsid w:val="00187A9F"/>
    <w:rsid w:val="00187D41"/>
    <w:rsid w:val="001910F3"/>
    <w:rsid w:val="0019318D"/>
    <w:rsid w:val="001950C8"/>
    <w:rsid w:val="00196413"/>
    <w:rsid w:val="001A4B75"/>
    <w:rsid w:val="001A6897"/>
    <w:rsid w:val="001A68A5"/>
    <w:rsid w:val="001A73D3"/>
    <w:rsid w:val="001B46DB"/>
    <w:rsid w:val="001B788B"/>
    <w:rsid w:val="001C2F4C"/>
    <w:rsid w:val="001C3856"/>
    <w:rsid w:val="001D6356"/>
    <w:rsid w:val="001D7D41"/>
    <w:rsid w:val="001E01A2"/>
    <w:rsid w:val="001E3CF9"/>
    <w:rsid w:val="001F29ED"/>
    <w:rsid w:val="00201782"/>
    <w:rsid w:val="00201B9C"/>
    <w:rsid w:val="00202EE3"/>
    <w:rsid w:val="00204557"/>
    <w:rsid w:val="002066D3"/>
    <w:rsid w:val="0020771B"/>
    <w:rsid w:val="00207DA4"/>
    <w:rsid w:val="00207E75"/>
    <w:rsid w:val="0021068E"/>
    <w:rsid w:val="002130B4"/>
    <w:rsid w:val="00213A0F"/>
    <w:rsid w:val="002250D5"/>
    <w:rsid w:val="00226748"/>
    <w:rsid w:val="00226AB3"/>
    <w:rsid w:val="002302D7"/>
    <w:rsid w:val="00231CAD"/>
    <w:rsid w:val="00241173"/>
    <w:rsid w:val="00246002"/>
    <w:rsid w:val="00247A2F"/>
    <w:rsid w:val="00255C10"/>
    <w:rsid w:val="00256A72"/>
    <w:rsid w:val="002579A2"/>
    <w:rsid w:val="00260B0A"/>
    <w:rsid w:val="00262515"/>
    <w:rsid w:val="00264FBA"/>
    <w:rsid w:val="00265E7E"/>
    <w:rsid w:val="00271F21"/>
    <w:rsid w:val="002740E2"/>
    <w:rsid w:val="00281087"/>
    <w:rsid w:val="0028322D"/>
    <w:rsid w:val="0029155F"/>
    <w:rsid w:val="002915C9"/>
    <w:rsid w:val="00291934"/>
    <w:rsid w:val="00293B7C"/>
    <w:rsid w:val="002A0DEB"/>
    <w:rsid w:val="002A50BB"/>
    <w:rsid w:val="002A77DC"/>
    <w:rsid w:val="002B5EE3"/>
    <w:rsid w:val="002B62C7"/>
    <w:rsid w:val="002B797C"/>
    <w:rsid w:val="002C1069"/>
    <w:rsid w:val="002C3C17"/>
    <w:rsid w:val="002C49BA"/>
    <w:rsid w:val="002D09B8"/>
    <w:rsid w:val="002D1E20"/>
    <w:rsid w:val="002D384B"/>
    <w:rsid w:val="002D42BC"/>
    <w:rsid w:val="002D7B87"/>
    <w:rsid w:val="002F3A7D"/>
    <w:rsid w:val="002F647C"/>
    <w:rsid w:val="00305E28"/>
    <w:rsid w:val="003203C1"/>
    <w:rsid w:val="003221F5"/>
    <w:rsid w:val="00330CEE"/>
    <w:rsid w:val="00330D72"/>
    <w:rsid w:val="0033278B"/>
    <w:rsid w:val="00334AAD"/>
    <w:rsid w:val="00335E44"/>
    <w:rsid w:val="00347450"/>
    <w:rsid w:val="00347928"/>
    <w:rsid w:val="00356A8B"/>
    <w:rsid w:val="00365ED8"/>
    <w:rsid w:val="00382392"/>
    <w:rsid w:val="0038689C"/>
    <w:rsid w:val="0038735C"/>
    <w:rsid w:val="00390532"/>
    <w:rsid w:val="00392E27"/>
    <w:rsid w:val="003941A2"/>
    <w:rsid w:val="003975FB"/>
    <w:rsid w:val="003975FF"/>
    <w:rsid w:val="003A27C5"/>
    <w:rsid w:val="003A6777"/>
    <w:rsid w:val="003B1B6C"/>
    <w:rsid w:val="003B3708"/>
    <w:rsid w:val="003C2145"/>
    <w:rsid w:val="003C3691"/>
    <w:rsid w:val="003C6CEC"/>
    <w:rsid w:val="003D2E7C"/>
    <w:rsid w:val="003D3407"/>
    <w:rsid w:val="003D4AE7"/>
    <w:rsid w:val="003E06B2"/>
    <w:rsid w:val="003E65E7"/>
    <w:rsid w:val="003E7307"/>
    <w:rsid w:val="003F5595"/>
    <w:rsid w:val="003F6D9D"/>
    <w:rsid w:val="0040214E"/>
    <w:rsid w:val="00405835"/>
    <w:rsid w:val="004103A6"/>
    <w:rsid w:val="00411726"/>
    <w:rsid w:val="0041452C"/>
    <w:rsid w:val="00420011"/>
    <w:rsid w:val="00420B36"/>
    <w:rsid w:val="004301F2"/>
    <w:rsid w:val="0043736E"/>
    <w:rsid w:val="00437EAB"/>
    <w:rsid w:val="00441D04"/>
    <w:rsid w:val="00444427"/>
    <w:rsid w:val="0045370C"/>
    <w:rsid w:val="004568DC"/>
    <w:rsid w:val="00460095"/>
    <w:rsid w:val="0046665C"/>
    <w:rsid w:val="00475371"/>
    <w:rsid w:val="00477ADB"/>
    <w:rsid w:val="00480412"/>
    <w:rsid w:val="00480DC0"/>
    <w:rsid w:val="00481412"/>
    <w:rsid w:val="004836F5"/>
    <w:rsid w:val="00483F49"/>
    <w:rsid w:val="004961F4"/>
    <w:rsid w:val="004963F4"/>
    <w:rsid w:val="004A67F2"/>
    <w:rsid w:val="004C62FB"/>
    <w:rsid w:val="004C6CD6"/>
    <w:rsid w:val="004D080F"/>
    <w:rsid w:val="004D3DF9"/>
    <w:rsid w:val="004E2295"/>
    <w:rsid w:val="004E439E"/>
    <w:rsid w:val="004E474F"/>
    <w:rsid w:val="004E4BA2"/>
    <w:rsid w:val="004E648E"/>
    <w:rsid w:val="004F5CA3"/>
    <w:rsid w:val="004F731A"/>
    <w:rsid w:val="00502085"/>
    <w:rsid w:val="005045FD"/>
    <w:rsid w:val="005054FC"/>
    <w:rsid w:val="00505AFF"/>
    <w:rsid w:val="00510393"/>
    <w:rsid w:val="00514A93"/>
    <w:rsid w:val="00516FF2"/>
    <w:rsid w:val="0052028D"/>
    <w:rsid w:val="00524993"/>
    <w:rsid w:val="00524C4B"/>
    <w:rsid w:val="00526F18"/>
    <w:rsid w:val="005325F6"/>
    <w:rsid w:val="00533F04"/>
    <w:rsid w:val="0053416B"/>
    <w:rsid w:val="00537043"/>
    <w:rsid w:val="00537E89"/>
    <w:rsid w:val="00537FA2"/>
    <w:rsid w:val="005559D8"/>
    <w:rsid w:val="005600A1"/>
    <w:rsid w:val="00562AE0"/>
    <w:rsid w:val="005658F1"/>
    <w:rsid w:val="00567011"/>
    <w:rsid w:val="005729C2"/>
    <w:rsid w:val="005755A0"/>
    <w:rsid w:val="00582EE4"/>
    <w:rsid w:val="00585EDB"/>
    <w:rsid w:val="00586096"/>
    <w:rsid w:val="0058650E"/>
    <w:rsid w:val="00587DA8"/>
    <w:rsid w:val="005B0EBD"/>
    <w:rsid w:val="005B19EA"/>
    <w:rsid w:val="005B3EBD"/>
    <w:rsid w:val="005B73CB"/>
    <w:rsid w:val="005C62E6"/>
    <w:rsid w:val="005D7655"/>
    <w:rsid w:val="005E0047"/>
    <w:rsid w:val="005E2043"/>
    <w:rsid w:val="005E6A65"/>
    <w:rsid w:val="005F4BD5"/>
    <w:rsid w:val="005F796D"/>
    <w:rsid w:val="00600F80"/>
    <w:rsid w:val="006034FC"/>
    <w:rsid w:val="0060390D"/>
    <w:rsid w:val="00603C2C"/>
    <w:rsid w:val="00606AD6"/>
    <w:rsid w:val="00607A9F"/>
    <w:rsid w:val="00611DB0"/>
    <w:rsid w:val="00613328"/>
    <w:rsid w:val="00627458"/>
    <w:rsid w:val="006368A4"/>
    <w:rsid w:val="00646471"/>
    <w:rsid w:val="006465C6"/>
    <w:rsid w:val="00653388"/>
    <w:rsid w:val="00672948"/>
    <w:rsid w:val="00672F8E"/>
    <w:rsid w:val="00673B44"/>
    <w:rsid w:val="0067716C"/>
    <w:rsid w:val="00680209"/>
    <w:rsid w:val="00680716"/>
    <w:rsid w:val="006934CE"/>
    <w:rsid w:val="00694711"/>
    <w:rsid w:val="006A0AAB"/>
    <w:rsid w:val="006A11BA"/>
    <w:rsid w:val="006A1E45"/>
    <w:rsid w:val="006A2528"/>
    <w:rsid w:val="006A3AFB"/>
    <w:rsid w:val="006A40BD"/>
    <w:rsid w:val="006A58AE"/>
    <w:rsid w:val="006A58E7"/>
    <w:rsid w:val="006A5A4E"/>
    <w:rsid w:val="006A6079"/>
    <w:rsid w:val="006B4BF8"/>
    <w:rsid w:val="006B7025"/>
    <w:rsid w:val="006B71BF"/>
    <w:rsid w:val="006C0A62"/>
    <w:rsid w:val="006C3C3C"/>
    <w:rsid w:val="006D5440"/>
    <w:rsid w:val="006E4E52"/>
    <w:rsid w:val="006F413D"/>
    <w:rsid w:val="006F5D2B"/>
    <w:rsid w:val="00705FC3"/>
    <w:rsid w:val="00722413"/>
    <w:rsid w:val="007337B0"/>
    <w:rsid w:val="00733B64"/>
    <w:rsid w:val="0074226D"/>
    <w:rsid w:val="00743B2C"/>
    <w:rsid w:val="007479D2"/>
    <w:rsid w:val="00747B6F"/>
    <w:rsid w:val="00754CE5"/>
    <w:rsid w:val="00757AC0"/>
    <w:rsid w:val="00762CF1"/>
    <w:rsid w:val="0076394C"/>
    <w:rsid w:val="00765B30"/>
    <w:rsid w:val="007719FE"/>
    <w:rsid w:val="007730D7"/>
    <w:rsid w:val="00781C13"/>
    <w:rsid w:val="007851E6"/>
    <w:rsid w:val="007877C1"/>
    <w:rsid w:val="00794241"/>
    <w:rsid w:val="007959E6"/>
    <w:rsid w:val="007A1278"/>
    <w:rsid w:val="007A176D"/>
    <w:rsid w:val="007B0BA3"/>
    <w:rsid w:val="007B6A54"/>
    <w:rsid w:val="007C0FCC"/>
    <w:rsid w:val="007C6391"/>
    <w:rsid w:val="007D0C5B"/>
    <w:rsid w:val="007D3D5C"/>
    <w:rsid w:val="007F0AC8"/>
    <w:rsid w:val="007F172A"/>
    <w:rsid w:val="007F348F"/>
    <w:rsid w:val="007F3641"/>
    <w:rsid w:val="007F5554"/>
    <w:rsid w:val="008039EA"/>
    <w:rsid w:val="00811C15"/>
    <w:rsid w:val="00815496"/>
    <w:rsid w:val="008235CF"/>
    <w:rsid w:val="0082470E"/>
    <w:rsid w:val="0082516C"/>
    <w:rsid w:val="00826219"/>
    <w:rsid w:val="00826250"/>
    <w:rsid w:val="00832157"/>
    <w:rsid w:val="0083466A"/>
    <w:rsid w:val="0083466D"/>
    <w:rsid w:val="0083658F"/>
    <w:rsid w:val="00836772"/>
    <w:rsid w:val="00836D0B"/>
    <w:rsid w:val="008446DE"/>
    <w:rsid w:val="00851B46"/>
    <w:rsid w:val="0085246D"/>
    <w:rsid w:val="00855148"/>
    <w:rsid w:val="008567CC"/>
    <w:rsid w:val="00874360"/>
    <w:rsid w:val="00881351"/>
    <w:rsid w:val="00892772"/>
    <w:rsid w:val="00896EF9"/>
    <w:rsid w:val="008A1357"/>
    <w:rsid w:val="008B09DD"/>
    <w:rsid w:val="008B39BC"/>
    <w:rsid w:val="008B4E72"/>
    <w:rsid w:val="008B7414"/>
    <w:rsid w:val="008C2F5B"/>
    <w:rsid w:val="008D0D63"/>
    <w:rsid w:val="008D1EDC"/>
    <w:rsid w:val="008D5F89"/>
    <w:rsid w:val="008E3882"/>
    <w:rsid w:val="008E5AE4"/>
    <w:rsid w:val="008E72A1"/>
    <w:rsid w:val="008F13AC"/>
    <w:rsid w:val="008F44DB"/>
    <w:rsid w:val="00912D0F"/>
    <w:rsid w:val="00914C5C"/>
    <w:rsid w:val="009150F4"/>
    <w:rsid w:val="009167B7"/>
    <w:rsid w:val="009176C5"/>
    <w:rsid w:val="00922D13"/>
    <w:rsid w:val="00923596"/>
    <w:rsid w:val="00924DF1"/>
    <w:rsid w:val="009268CB"/>
    <w:rsid w:val="00933592"/>
    <w:rsid w:val="00935CD8"/>
    <w:rsid w:val="00937B86"/>
    <w:rsid w:val="00940E7D"/>
    <w:rsid w:val="00941802"/>
    <w:rsid w:val="00943F4C"/>
    <w:rsid w:val="009441CE"/>
    <w:rsid w:val="00944234"/>
    <w:rsid w:val="00952C7D"/>
    <w:rsid w:val="00957228"/>
    <w:rsid w:val="00961111"/>
    <w:rsid w:val="00961D76"/>
    <w:rsid w:val="00972948"/>
    <w:rsid w:val="00974632"/>
    <w:rsid w:val="00982BCD"/>
    <w:rsid w:val="00984EE6"/>
    <w:rsid w:val="0098582C"/>
    <w:rsid w:val="009A6D5A"/>
    <w:rsid w:val="009B0A69"/>
    <w:rsid w:val="009B561C"/>
    <w:rsid w:val="009B6AEF"/>
    <w:rsid w:val="009C0DF7"/>
    <w:rsid w:val="009C3AF2"/>
    <w:rsid w:val="009C6152"/>
    <w:rsid w:val="009D1727"/>
    <w:rsid w:val="009D3466"/>
    <w:rsid w:val="009D5F11"/>
    <w:rsid w:val="009E1402"/>
    <w:rsid w:val="009E2072"/>
    <w:rsid w:val="009E2777"/>
    <w:rsid w:val="009E32CC"/>
    <w:rsid w:val="009E480D"/>
    <w:rsid w:val="009E637A"/>
    <w:rsid w:val="009F497F"/>
    <w:rsid w:val="009F5DA9"/>
    <w:rsid w:val="00A02CD3"/>
    <w:rsid w:val="00A037D8"/>
    <w:rsid w:val="00A04401"/>
    <w:rsid w:val="00A07A41"/>
    <w:rsid w:val="00A1651F"/>
    <w:rsid w:val="00A20191"/>
    <w:rsid w:val="00A217CC"/>
    <w:rsid w:val="00A2230A"/>
    <w:rsid w:val="00A2341B"/>
    <w:rsid w:val="00A2670B"/>
    <w:rsid w:val="00A30EC2"/>
    <w:rsid w:val="00A34E25"/>
    <w:rsid w:val="00A356E6"/>
    <w:rsid w:val="00A35899"/>
    <w:rsid w:val="00A473A5"/>
    <w:rsid w:val="00A568E8"/>
    <w:rsid w:val="00A574DF"/>
    <w:rsid w:val="00A66FA6"/>
    <w:rsid w:val="00A74233"/>
    <w:rsid w:val="00A8096A"/>
    <w:rsid w:val="00A809FB"/>
    <w:rsid w:val="00A8137F"/>
    <w:rsid w:val="00A853B8"/>
    <w:rsid w:val="00A90573"/>
    <w:rsid w:val="00A91034"/>
    <w:rsid w:val="00A96C57"/>
    <w:rsid w:val="00AA185D"/>
    <w:rsid w:val="00AA4651"/>
    <w:rsid w:val="00AA47C2"/>
    <w:rsid w:val="00AA516F"/>
    <w:rsid w:val="00AA70A4"/>
    <w:rsid w:val="00AB011A"/>
    <w:rsid w:val="00AB1014"/>
    <w:rsid w:val="00AB1D0F"/>
    <w:rsid w:val="00AB236D"/>
    <w:rsid w:val="00AB512B"/>
    <w:rsid w:val="00AB73CA"/>
    <w:rsid w:val="00AC126B"/>
    <w:rsid w:val="00AC6424"/>
    <w:rsid w:val="00AD38ED"/>
    <w:rsid w:val="00AD4414"/>
    <w:rsid w:val="00AD44A5"/>
    <w:rsid w:val="00AE3130"/>
    <w:rsid w:val="00AE4A43"/>
    <w:rsid w:val="00AF3568"/>
    <w:rsid w:val="00B005F7"/>
    <w:rsid w:val="00B02FB2"/>
    <w:rsid w:val="00B036D9"/>
    <w:rsid w:val="00B0534E"/>
    <w:rsid w:val="00B136EB"/>
    <w:rsid w:val="00B1754D"/>
    <w:rsid w:val="00B219AF"/>
    <w:rsid w:val="00B2619B"/>
    <w:rsid w:val="00B30023"/>
    <w:rsid w:val="00B41086"/>
    <w:rsid w:val="00B438D0"/>
    <w:rsid w:val="00B46442"/>
    <w:rsid w:val="00B5041A"/>
    <w:rsid w:val="00B57608"/>
    <w:rsid w:val="00B603A0"/>
    <w:rsid w:val="00B72C9F"/>
    <w:rsid w:val="00B87747"/>
    <w:rsid w:val="00BA7674"/>
    <w:rsid w:val="00BB3C8C"/>
    <w:rsid w:val="00BB522B"/>
    <w:rsid w:val="00BC7817"/>
    <w:rsid w:val="00BD45C1"/>
    <w:rsid w:val="00BE1A65"/>
    <w:rsid w:val="00BE65F6"/>
    <w:rsid w:val="00BF34A5"/>
    <w:rsid w:val="00BF46C7"/>
    <w:rsid w:val="00BF71CC"/>
    <w:rsid w:val="00BF7511"/>
    <w:rsid w:val="00C03536"/>
    <w:rsid w:val="00C05491"/>
    <w:rsid w:val="00C07930"/>
    <w:rsid w:val="00C10925"/>
    <w:rsid w:val="00C11A0F"/>
    <w:rsid w:val="00C12545"/>
    <w:rsid w:val="00C12C5E"/>
    <w:rsid w:val="00C16E56"/>
    <w:rsid w:val="00C252C3"/>
    <w:rsid w:val="00C3120B"/>
    <w:rsid w:val="00C35609"/>
    <w:rsid w:val="00C420DA"/>
    <w:rsid w:val="00C451DD"/>
    <w:rsid w:val="00C567FC"/>
    <w:rsid w:val="00C769B0"/>
    <w:rsid w:val="00C7770F"/>
    <w:rsid w:val="00C804F2"/>
    <w:rsid w:val="00C82E83"/>
    <w:rsid w:val="00C83DD6"/>
    <w:rsid w:val="00C90C8C"/>
    <w:rsid w:val="00C92C29"/>
    <w:rsid w:val="00CA0727"/>
    <w:rsid w:val="00CA2408"/>
    <w:rsid w:val="00CA4D28"/>
    <w:rsid w:val="00CA4E68"/>
    <w:rsid w:val="00CB222C"/>
    <w:rsid w:val="00CB2356"/>
    <w:rsid w:val="00CC24BA"/>
    <w:rsid w:val="00CC6E42"/>
    <w:rsid w:val="00CD4590"/>
    <w:rsid w:val="00CE2BC1"/>
    <w:rsid w:val="00CE302E"/>
    <w:rsid w:val="00CE3CC7"/>
    <w:rsid w:val="00CE523A"/>
    <w:rsid w:val="00CE5897"/>
    <w:rsid w:val="00CF4A2C"/>
    <w:rsid w:val="00CF59E5"/>
    <w:rsid w:val="00D1599A"/>
    <w:rsid w:val="00D16420"/>
    <w:rsid w:val="00D2105E"/>
    <w:rsid w:val="00D21A82"/>
    <w:rsid w:val="00D36453"/>
    <w:rsid w:val="00D37F6D"/>
    <w:rsid w:val="00D4223E"/>
    <w:rsid w:val="00D42937"/>
    <w:rsid w:val="00D444EE"/>
    <w:rsid w:val="00D4575A"/>
    <w:rsid w:val="00D47B6B"/>
    <w:rsid w:val="00D52043"/>
    <w:rsid w:val="00D55A32"/>
    <w:rsid w:val="00D61394"/>
    <w:rsid w:val="00D656D8"/>
    <w:rsid w:val="00D660F7"/>
    <w:rsid w:val="00D7756C"/>
    <w:rsid w:val="00D90600"/>
    <w:rsid w:val="00D91E7D"/>
    <w:rsid w:val="00D93645"/>
    <w:rsid w:val="00DB07EC"/>
    <w:rsid w:val="00DB26F8"/>
    <w:rsid w:val="00DB3A02"/>
    <w:rsid w:val="00DB3B4E"/>
    <w:rsid w:val="00DB3D02"/>
    <w:rsid w:val="00DC186C"/>
    <w:rsid w:val="00DC3E2A"/>
    <w:rsid w:val="00DD5486"/>
    <w:rsid w:val="00DE0B64"/>
    <w:rsid w:val="00DE524D"/>
    <w:rsid w:val="00DE6C67"/>
    <w:rsid w:val="00DF5B1C"/>
    <w:rsid w:val="00DF69E4"/>
    <w:rsid w:val="00DF7C92"/>
    <w:rsid w:val="00E00F4A"/>
    <w:rsid w:val="00E03FFA"/>
    <w:rsid w:val="00E0512A"/>
    <w:rsid w:val="00E05AEF"/>
    <w:rsid w:val="00E06CBF"/>
    <w:rsid w:val="00E106A0"/>
    <w:rsid w:val="00E11D7B"/>
    <w:rsid w:val="00E14396"/>
    <w:rsid w:val="00E21346"/>
    <w:rsid w:val="00E31222"/>
    <w:rsid w:val="00E35902"/>
    <w:rsid w:val="00E40E2C"/>
    <w:rsid w:val="00E46EB3"/>
    <w:rsid w:val="00E51113"/>
    <w:rsid w:val="00E54646"/>
    <w:rsid w:val="00E5712F"/>
    <w:rsid w:val="00E72D69"/>
    <w:rsid w:val="00E765B0"/>
    <w:rsid w:val="00E81DB7"/>
    <w:rsid w:val="00E81FD5"/>
    <w:rsid w:val="00E918DC"/>
    <w:rsid w:val="00EA0063"/>
    <w:rsid w:val="00EA0688"/>
    <w:rsid w:val="00EA11FD"/>
    <w:rsid w:val="00EA19B2"/>
    <w:rsid w:val="00EA65AA"/>
    <w:rsid w:val="00EB59B3"/>
    <w:rsid w:val="00EB5AA0"/>
    <w:rsid w:val="00EB7D10"/>
    <w:rsid w:val="00EC0D4E"/>
    <w:rsid w:val="00EC39D2"/>
    <w:rsid w:val="00ED07C1"/>
    <w:rsid w:val="00ED79A5"/>
    <w:rsid w:val="00EE4379"/>
    <w:rsid w:val="00EE452C"/>
    <w:rsid w:val="00EE60BA"/>
    <w:rsid w:val="00EE71FD"/>
    <w:rsid w:val="00EF0576"/>
    <w:rsid w:val="00F01A35"/>
    <w:rsid w:val="00F01D88"/>
    <w:rsid w:val="00F01FED"/>
    <w:rsid w:val="00F053EE"/>
    <w:rsid w:val="00F05EBE"/>
    <w:rsid w:val="00F0715B"/>
    <w:rsid w:val="00F07C67"/>
    <w:rsid w:val="00F117DF"/>
    <w:rsid w:val="00F13072"/>
    <w:rsid w:val="00F213B6"/>
    <w:rsid w:val="00F24923"/>
    <w:rsid w:val="00F26FE7"/>
    <w:rsid w:val="00F32668"/>
    <w:rsid w:val="00F36A6E"/>
    <w:rsid w:val="00F37A57"/>
    <w:rsid w:val="00F41BF3"/>
    <w:rsid w:val="00F45EE7"/>
    <w:rsid w:val="00F511B8"/>
    <w:rsid w:val="00F56804"/>
    <w:rsid w:val="00F622DD"/>
    <w:rsid w:val="00F6496A"/>
    <w:rsid w:val="00F7426B"/>
    <w:rsid w:val="00F7491F"/>
    <w:rsid w:val="00F85BFF"/>
    <w:rsid w:val="00F9640A"/>
    <w:rsid w:val="00F9776B"/>
    <w:rsid w:val="00FA141B"/>
    <w:rsid w:val="00FB2B19"/>
    <w:rsid w:val="00FB65AF"/>
    <w:rsid w:val="00FB79C9"/>
    <w:rsid w:val="00FC40C2"/>
    <w:rsid w:val="00FD2037"/>
    <w:rsid w:val="00FD261F"/>
    <w:rsid w:val="00FD3141"/>
    <w:rsid w:val="00FD44D5"/>
    <w:rsid w:val="00FD4B08"/>
    <w:rsid w:val="00FE394B"/>
    <w:rsid w:val="00FE7B63"/>
    <w:rsid w:val="00FF48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A58AE"/>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ootnoteText"/>
    <w:next w:val="Normal"/>
    <w:link w:val="NotecorrespondingauthorCar"/>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PageNumber">
    <w:name w:val="page number"/>
    <w:basedOn w:val="DefaultParagraphFont"/>
    <w:rsid w:val="00D93645"/>
  </w:style>
  <w:style w:type="character" w:styleId="FootnoteReference">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Reference">
    <w:name w:val="endnote reference"/>
    <w:semiHidden/>
    <w:rsid w:val="00B036D9"/>
    <w:rPr>
      <w:vertAlign w:val="superscript"/>
    </w:rPr>
  </w:style>
  <w:style w:type="paragraph" w:styleId="Footer">
    <w:name w:val="footer"/>
    <w:basedOn w:val="Normal"/>
    <w:link w:val="FooterChar"/>
    <w:uiPriority w:val="99"/>
    <w:rsid w:val="00B036D9"/>
  </w:style>
  <w:style w:type="character" w:customStyle="1" w:styleId="FooterChar">
    <w:name w:val="Footer Char"/>
    <w:link w:val="Footer"/>
    <w:uiPriority w:val="99"/>
    <w:rsid w:val="007719FE"/>
    <w:rPr>
      <w:rFonts w:ascii="New York" w:hAnsi="New York" w:cs="New York"/>
      <w:sz w:val="24"/>
      <w:lang w:eastAsia="ar-SA"/>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TableHeading">
    <w:name w:val="Table Heading"/>
    <w:basedOn w:val="Normal"/>
    <w:rsid w:val="0006121B"/>
    <w:pPr>
      <w:suppressLineNumbers/>
      <w:jc w:val="center"/>
    </w:pPr>
    <w:rPr>
      <w:b/>
      <w:bCs/>
    </w:rPr>
  </w:style>
  <w:style w:type="character" w:styleId="Hyperlink">
    <w:name w:val="Hyper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al"/>
    <w:rsid w:val="00F7426B"/>
    <w:pPr>
      <w:jc w:val="center"/>
    </w:pPr>
    <w:rPr>
      <w:rFonts w:cs="Times New Roman"/>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F7426B"/>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al"/>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character" w:styleId="PlaceholderText">
    <w:name w:val="Placeholder Text"/>
    <w:basedOn w:val="DefaultParagraphFont"/>
    <w:uiPriority w:val="99"/>
    <w:semiHidden/>
    <w:rsid w:val="0021068E"/>
    <w:rPr>
      <w:color w:val="808080"/>
    </w:rPr>
  </w:style>
  <w:style w:type="character" w:styleId="CommentReference">
    <w:name w:val="annotation reference"/>
    <w:basedOn w:val="DefaultParagraphFont"/>
    <w:rsid w:val="00923596"/>
    <w:rPr>
      <w:sz w:val="16"/>
      <w:szCs w:val="16"/>
    </w:rPr>
  </w:style>
  <w:style w:type="paragraph" w:styleId="CommentText">
    <w:name w:val="annotation text"/>
    <w:basedOn w:val="Normal"/>
    <w:link w:val="CommentTextChar"/>
    <w:rsid w:val="00923596"/>
    <w:rPr>
      <w:sz w:val="20"/>
    </w:rPr>
  </w:style>
  <w:style w:type="character" w:customStyle="1" w:styleId="CommentTextChar">
    <w:name w:val="Comment Text Char"/>
    <w:basedOn w:val="DefaultParagraphFont"/>
    <w:link w:val="CommentText"/>
    <w:rsid w:val="00923596"/>
    <w:rPr>
      <w:rFonts w:ascii="New York" w:hAnsi="New York" w:cs="New York"/>
      <w:lang w:eastAsia="ar-SA"/>
    </w:rPr>
  </w:style>
  <w:style w:type="paragraph" w:styleId="BalloonText">
    <w:name w:val="Balloon Text"/>
    <w:basedOn w:val="Normal"/>
    <w:link w:val="BalloonTextChar"/>
    <w:semiHidden/>
    <w:unhideWhenUsed/>
    <w:rsid w:val="00923596"/>
    <w:rPr>
      <w:rFonts w:ascii="Segoe UI" w:hAnsi="Segoe UI" w:cs="Segoe UI"/>
      <w:sz w:val="18"/>
      <w:szCs w:val="18"/>
    </w:rPr>
  </w:style>
  <w:style w:type="character" w:customStyle="1" w:styleId="BalloonTextChar">
    <w:name w:val="Balloon Text Char"/>
    <w:basedOn w:val="DefaultParagraphFont"/>
    <w:link w:val="BalloonText"/>
    <w:semiHidden/>
    <w:rsid w:val="00923596"/>
    <w:rPr>
      <w:rFonts w:ascii="Segoe UI" w:hAnsi="Segoe UI" w:cs="Segoe UI"/>
      <w:sz w:val="18"/>
      <w:szCs w:val="18"/>
      <w:lang w:eastAsia="ar-SA"/>
    </w:rPr>
  </w:style>
  <w:style w:type="paragraph" w:styleId="Revision">
    <w:name w:val="Revision"/>
    <w:hidden/>
    <w:uiPriority w:val="99"/>
    <w:semiHidden/>
    <w:rsid w:val="00C05491"/>
    <w:rPr>
      <w:rFonts w:ascii="New York" w:hAnsi="New York" w:cs="New York"/>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ncnr.nist.gov/resources/activ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damian.rodriguez@ess.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B4B6A4-3736-4B9B-9793-FF055A5F9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columns.dotx</Template>
  <TotalTime>51</TotalTime>
  <Pages>10</Pages>
  <Words>5678</Words>
  <Characters>30094</Characters>
  <Application>Microsoft Office Word</Application>
  <DocSecurity>0</DocSecurity>
  <Lines>250</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35701</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Damian Martin Rodriguez</cp:lastModifiedBy>
  <cp:revision>9</cp:revision>
  <cp:lastPrinted>2023-09-18T09:29:00Z</cp:lastPrinted>
  <dcterms:created xsi:type="dcterms:W3CDTF">2023-09-18T08:21:00Z</dcterms:created>
  <dcterms:modified xsi:type="dcterms:W3CDTF">2023-09-18T09:30:00Z</dcterms:modified>
</cp:coreProperties>
</file>